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98C" w:rsidRPr="002347FA" w:rsidRDefault="00C7498C" w:rsidP="007D2455">
      <w:pPr>
        <w:jc w:val="both"/>
        <w:rPr>
          <w:rFonts w:ascii="Arial" w:hAnsi="Arial" w:cs="Arial"/>
          <w:b/>
          <w:bCs/>
          <w:sz w:val="28"/>
        </w:rPr>
      </w:pPr>
      <w:r w:rsidRPr="002347FA">
        <w:rPr>
          <w:rFonts w:ascii="Arial" w:hAnsi="Arial" w:cs="Arial"/>
          <w:b/>
          <w:bCs/>
          <w:sz w:val="28"/>
        </w:rPr>
        <w:t xml:space="preserve">Briefing Paper </w:t>
      </w:r>
    </w:p>
    <w:p w:rsidR="00C7498C" w:rsidRPr="002347FA" w:rsidRDefault="00C7498C" w:rsidP="007D2455">
      <w:pPr>
        <w:jc w:val="both"/>
        <w:rPr>
          <w:rFonts w:ascii="Arial" w:hAnsi="Arial" w:cs="Arial"/>
          <w:b/>
          <w:bCs/>
          <w:sz w:val="28"/>
        </w:rPr>
      </w:pPr>
    </w:p>
    <w:p w:rsidR="00C7498C" w:rsidRPr="002347FA" w:rsidRDefault="00C7498C" w:rsidP="007D2455">
      <w:pPr>
        <w:jc w:val="both"/>
        <w:rPr>
          <w:rFonts w:ascii="Arial" w:hAnsi="Arial" w:cs="Arial"/>
          <w:b/>
          <w:bCs/>
          <w:sz w:val="28"/>
        </w:rPr>
      </w:pPr>
      <w:r w:rsidRPr="002347FA">
        <w:rPr>
          <w:rFonts w:ascii="Arial" w:hAnsi="Arial" w:cs="Arial"/>
          <w:b/>
          <w:bCs/>
          <w:sz w:val="28"/>
        </w:rPr>
        <w:t>Date:</w:t>
      </w:r>
      <w:r w:rsidRPr="002347FA">
        <w:rPr>
          <w:rFonts w:ascii="Arial" w:hAnsi="Arial" w:cs="Arial"/>
          <w:b/>
          <w:bCs/>
          <w:sz w:val="28"/>
        </w:rPr>
        <w:tab/>
        <w:t xml:space="preserve"> </w:t>
      </w:r>
      <w:r w:rsidR="00F95346">
        <w:rPr>
          <w:rFonts w:ascii="Arial" w:hAnsi="Arial" w:cs="Arial"/>
          <w:b/>
          <w:bCs/>
          <w:sz w:val="28"/>
        </w:rPr>
        <w:t>30</w:t>
      </w:r>
      <w:r w:rsidR="007D2455" w:rsidRPr="007D2455">
        <w:rPr>
          <w:rFonts w:ascii="Arial" w:hAnsi="Arial" w:cs="Arial"/>
          <w:b/>
          <w:bCs/>
          <w:sz w:val="28"/>
          <w:vertAlign w:val="superscript"/>
        </w:rPr>
        <w:t>th</w:t>
      </w:r>
      <w:r w:rsidR="007D2455">
        <w:rPr>
          <w:rFonts w:ascii="Arial" w:hAnsi="Arial" w:cs="Arial"/>
          <w:b/>
          <w:bCs/>
          <w:sz w:val="28"/>
        </w:rPr>
        <w:t xml:space="preserve"> December 2016</w:t>
      </w:r>
      <w:r w:rsidRPr="002347FA">
        <w:rPr>
          <w:rFonts w:ascii="Arial" w:hAnsi="Arial" w:cs="Arial"/>
          <w:b/>
          <w:bCs/>
          <w:sz w:val="28"/>
        </w:rPr>
        <w:t xml:space="preserve">    </w:t>
      </w:r>
      <w:r w:rsidRPr="002347FA">
        <w:rPr>
          <w:rFonts w:ascii="Arial" w:hAnsi="Arial" w:cs="Arial"/>
          <w:b/>
          <w:bCs/>
          <w:sz w:val="28"/>
        </w:rPr>
        <w:tab/>
        <w:t xml:space="preserve"> </w:t>
      </w:r>
    </w:p>
    <w:p w:rsidR="00C7498C" w:rsidRPr="002347FA" w:rsidRDefault="00C7498C" w:rsidP="007D2455">
      <w:pPr>
        <w:jc w:val="both"/>
        <w:rPr>
          <w:rFonts w:ascii="Arial" w:hAnsi="Arial" w:cs="Arial"/>
          <w:b/>
          <w:bCs/>
          <w:sz w:val="28"/>
        </w:rPr>
      </w:pPr>
      <w:r w:rsidRPr="002347FA">
        <w:rPr>
          <w:rFonts w:ascii="Arial" w:hAnsi="Arial" w:cs="Arial"/>
          <w:b/>
          <w:bCs/>
          <w:sz w:val="28"/>
        </w:rPr>
        <w:tab/>
        <w:t xml:space="preserve"> </w:t>
      </w:r>
    </w:p>
    <w:p w:rsidR="00C7498C" w:rsidRPr="002347FA" w:rsidRDefault="00C7498C" w:rsidP="007D2455">
      <w:pPr>
        <w:jc w:val="both"/>
        <w:rPr>
          <w:rFonts w:ascii="Arial" w:hAnsi="Arial" w:cs="Arial"/>
          <w:b/>
          <w:bCs/>
          <w:color w:val="FF0000"/>
          <w:sz w:val="28"/>
        </w:rPr>
      </w:pPr>
      <w:r w:rsidRPr="002347FA">
        <w:rPr>
          <w:rFonts w:ascii="Arial" w:hAnsi="Arial" w:cs="Arial"/>
          <w:b/>
          <w:bCs/>
          <w:sz w:val="28"/>
        </w:rPr>
        <w:t xml:space="preserve">Subject: </w:t>
      </w:r>
      <w:r w:rsidRPr="002347FA">
        <w:rPr>
          <w:rFonts w:ascii="Arial" w:hAnsi="Arial" w:cs="Arial"/>
          <w:b/>
          <w:bCs/>
          <w:sz w:val="28"/>
        </w:rPr>
        <w:tab/>
      </w:r>
      <w:r>
        <w:rPr>
          <w:rFonts w:ascii="Arial" w:hAnsi="Arial" w:cs="Arial"/>
          <w:b/>
          <w:bCs/>
          <w:sz w:val="28"/>
        </w:rPr>
        <w:t>Ward 43 NIV monitors</w:t>
      </w:r>
    </w:p>
    <w:p w:rsidR="00C7498C" w:rsidRPr="002347FA" w:rsidRDefault="00C7498C" w:rsidP="007D2455">
      <w:pPr>
        <w:pBdr>
          <w:bottom w:val="single" w:sz="12" w:space="1" w:color="auto"/>
        </w:pBdr>
        <w:jc w:val="both"/>
        <w:rPr>
          <w:rFonts w:ascii="Arial" w:hAnsi="Arial" w:cs="Arial"/>
          <w:b/>
          <w:bCs/>
        </w:rPr>
      </w:pPr>
    </w:p>
    <w:p w:rsidR="00C7498C" w:rsidRPr="00C7498C" w:rsidRDefault="00C7498C" w:rsidP="00DB215D">
      <w:pPr>
        <w:tabs>
          <w:tab w:val="left" w:pos="540"/>
        </w:tabs>
        <w:jc w:val="both"/>
        <w:rPr>
          <w:rFonts w:ascii="Arial" w:hAnsi="Arial" w:cs="Arial"/>
          <w:b/>
          <w:bCs/>
        </w:rPr>
      </w:pPr>
    </w:p>
    <w:p w:rsidR="00C7498C" w:rsidRPr="00C7498C" w:rsidRDefault="00C7498C" w:rsidP="007D2455">
      <w:pPr>
        <w:numPr>
          <w:ilvl w:val="0"/>
          <w:numId w:val="1"/>
        </w:numPr>
        <w:tabs>
          <w:tab w:val="left" w:pos="540"/>
        </w:tabs>
        <w:ind w:hanging="1260"/>
        <w:jc w:val="both"/>
        <w:rPr>
          <w:rFonts w:ascii="Arial" w:hAnsi="Arial" w:cs="Arial"/>
          <w:b/>
          <w:bCs/>
        </w:rPr>
      </w:pPr>
      <w:r>
        <w:rPr>
          <w:rFonts w:ascii="Arial" w:hAnsi="Arial" w:cs="Arial"/>
          <w:b/>
          <w:bCs/>
        </w:rPr>
        <w:t>Background information and proposal</w:t>
      </w:r>
    </w:p>
    <w:p w:rsidR="00C7498C" w:rsidRPr="00C7498C" w:rsidRDefault="00C7498C" w:rsidP="007D2455">
      <w:pPr>
        <w:tabs>
          <w:tab w:val="left" w:pos="540"/>
        </w:tabs>
        <w:jc w:val="both"/>
        <w:rPr>
          <w:rFonts w:ascii="Arial" w:hAnsi="Arial" w:cs="Arial"/>
          <w:b/>
          <w:bCs/>
        </w:rPr>
      </w:pPr>
    </w:p>
    <w:p w:rsidR="00C7498C" w:rsidRDefault="003333CA" w:rsidP="007D2455">
      <w:pPr>
        <w:jc w:val="both"/>
        <w:rPr>
          <w:rStyle w:val="Emphasis"/>
          <w:rFonts w:ascii="Arial" w:hAnsi="Arial" w:cs="Arial"/>
          <w:b/>
          <w:sz w:val="24"/>
        </w:rPr>
      </w:pPr>
      <w:r w:rsidRPr="003333CA">
        <w:rPr>
          <w:rStyle w:val="Emphasis"/>
          <w:rFonts w:ascii="Arial" w:hAnsi="Arial" w:cs="Arial"/>
          <w:b/>
          <w:sz w:val="24"/>
        </w:rPr>
        <w:t>Background</w:t>
      </w:r>
    </w:p>
    <w:p w:rsidR="005E739B" w:rsidRPr="003333CA" w:rsidRDefault="005E739B" w:rsidP="007D2455">
      <w:pPr>
        <w:jc w:val="both"/>
        <w:rPr>
          <w:rStyle w:val="Emphasis"/>
          <w:rFonts w:ascii="Arial" w:hAnsi="Arial" w:cs="Arial"/>
          <w:b/>
          <w:sz w:val="24"/>
        </w:rPr>
      </w:pPr>
    </w:p>
    <w:p w:rsidR="005D182E" w:rsidRDefault="00797B75" w:rsidP="007D2455">
      <w:pPr>
        <w:jc w:val="both"/>
        <w:rPr>
          <w:rFonts w:ascii="Arial" w:hAnsi="Arial" w:cs="Arial"/>
          <w:sz w:val="22"/>
          <w:szCs w:val="28"/>
        </w:rPr>
      </w:pPr>
      <w:r>
        <w:rPr>
          <w:rFonts w:ascii="Arial" w:hAnsi="Arial" w:cs="Arial"/>
          <w:sz w:val="22"/>
          <w:szCs w:val="28"/>
        </w:rPr>
        <w:t>In</w:t>
      </w:r>
      <w:r w:rsidR="003333CA" w:rsidRPr="003333CA">
        <w:rPr>
          <w:rFonts w:ascii="Arial" w:hAnsi="Arial" w:cs="Arial"/>
          <w:sz w:val="22"/>
          <w:szCs w:val="28"/>
        </w:rPr>
        <w:t xml:space="preserve"> 2015</w:t>
      </w:r>
      <w:r w:rsidR="00A22D3F">
        <w:rPr>
          <w:rFonts w:ascii="Arial" w:hAnsi="Arial" w:cs="Arial"/>
          <w:sz w:val="22"/>
          <w:szCs w:val="28"/>
        </w:rPr>
        <w:t xml:space="preserve"> CQC </w:t>
      </w:r>
      <w:r w:rsidR="00D80232">
        <w:rPr>
          <w:rFonts w:ascii="Arial" w:hAnsi="Arial" w:cs="Arial"/>
          <w:sz w:val="22"/>
          <w:szCs w:val="28"/>
        </w:rPr>
        <w:t>reports</w:t>
      </w:r>
      <w:r w:rsidR="00A22D3F">
        <w:rPr>
          <w:rFonts w:ascii="Arial" w:hAnsi="Arial" w:cs="Arial"/>
          <w:sz w:val="22"/>
          <w:szCs w:val="28"/>
        </w:rPr>
        <w:t xml:space="preserve"> following the Trust’s in</w:t>
      </w:r>
      <w:r w:rsidR="00C34759">
        <w:rPr>
          <w:rFonts w:ascii="Arial" w:hAnsi="Arial" w:cs="Arial"/>
          <w:sz w:val="22"/>
          <w:szCs w:val="28"/>
        </w:rPr>
        <w:t>s</w:t>
      </w:r>
      <w:r w:rsidR="00A22D3F">
        <w:rPr>
          <w:rFonts w:ascii="Arial" w:hAnsi="Arial" w:cs="Arial"/>
          <w:sz w:val="22"/>
          <w:szCs w:val="28"/>
        </w:rPr>
        <w:t>pection,</w:t>
      </w:r>
      <w:r w:rsidR="00D75F7B">
        <w:rPr>
          <w:rFonts w:ascii="Arial" w:hAnsi="Arial" w:cs="Arial"/>
          <w:sz w:val="22"/>
          <w:szCs w:val="28"/>
        </w:rPr>
        <w:t xml:space="preserve"> </w:t>
      </w:r>
      <w:r w:rsidR="007D2455">
        <w:rPr>
          <w:rFonts w:ascii="Arial" w:hAnsi="Arial" w:cs="Arial"/>
          <w:sz w:val="22"/>
          <w:szCs w:val="28"/>
        </w:rPr>
        <w:t xml:space="preserve">highlighted </w:t>
      </w:r>
      <w:r w:rsidR="007D2455" w:rsidRPr="003333CA">
        <w:rPr>
          <w:rFonts w:ascii="Arial" w:hAnsi="Arial" w:cs="Arial"/>
          <w:sz w:val="22"/>
          <w:szCs w:val="28"/>
        </w:rPr>
        <w:t>that</w:t>
      </w:r>
      <w:r w:rsidR="003333CA" w:rsidRPr="003333CA">
        <w:rPr>
          <w:rFonts w:ascii="Arial" w:hAnsi="Arial" w:cs="Arial"/>
          <w:sz w:val="22"/>
          <w:szCs w:val="28"/>
        </w:rPr>
        <w:t xml:space="preserve"> as the </w:t>
      </w:r>
      <w:r w:rsidR="007D2455">
        <w:rPr>
          <w:rFonts w:ascii="Arial" w:hAnsi="Arial" w:cs="Arial"/>
          <w:sz w:val="22"/>
          <w:szCs w:val="28"/>
        </w:rPr>
        <w:t xml:space="preserve">designated </w:t>
      </w:r>
      <w:r w:rsidR="003333CA" w:rsidRPr="003333CA">
        <w:rPr>
          <w:rFonts w:ascii="Arial" w:hAnsi="Arial" w:cs="Arial"/>
          <w:sz w:val="22"/>
          <w:szCs w:val="28"/>
        </w:rPr>
        <w:t>NIV beds</w:t>
      </w:r>
      <w:r w:rsidR="007D2455">
        <w:rPr>
          <w:rFonts w:ascii="Arial" w:hAnsi="Arial" w:cs="Arial"/>
          <w:sz w:val="22"/>
          <w:szCs w:val="28"/>
        </w:rPr>
        <w:t xml:space="preserve"> on Ward 43 at King’s Mill Hospital</w:t>
      </w:r>
      <w:r w:rsidR="003333CA" w:rsidRPr="003333CA">
        <w:rPr>
          <w:rFonts w:ascii="Arial" w:hAnsi="Arial" w:cs="Arial"/>
          <w:sz w:val="22"/>
          <w:szCs w:val="28"/>
        </w:rPr>
        <w:t xml:space="preserve"> were described locally as ‘level 2’</w:t>
      </w:r>
      <w:r w:rsidR="007D2455">
        <w:rPr>
          <w:rFonts w:ascii="Arial" w:hAnsi="Arial" w:cs="Arial"/>
          <w:sz w:val="22"/>
          <w:szCs w:val="28"/>
        </w:rPr>
        <w:t xml:space="preserve"> according to national guidelines</w:t>
      </w:r>
      <w:r w:rsidR="003333CA" w:rsidRPr="003333CA">
        <w:rPr>
          <w:rFonts w:ascii="Arial" w:hAnsi="Arial" w:cs="Arial"/>
          <w:sz w:val="22"/>
          <w:szCs w:val="28"/>
        </w:rPr>
        <w:t>,</w:t>
      </w:r>
      <w:r w:rsidR="007D2455">
        <w:rPr>
          <w:rFonts w:ascii="Arial" w:hAnsi="Arial" w:cs="Arial"/>
          <w:sz w:val="22"/>
          <w:szCs w:val="28"/>
        </w:rPr>
        <w:t xml:space="preserve"> they subsequently received</w:t>
      </w:r>
      <w:r w:rsidR="003333CA" w:rsidRPr="003333CA">
        <w:rPr>
          <w:rFonts w:ascii="Arial" w:hAnsi="Arial" w:cs="Arial"/>
          <w:sz w:val="22"/>
          <w:szCs w:val="28"/>
        </w:rPr>
        <w:t xml:space="preserve"> this</w:t>
      </w:r>
      <w:r w:rsidR="007D2455">
        <w:rPr>
          <w:rFonts w:ascii="Arial" w:hAnsi="Arial" w:cs="Arial"/>
          <w:sz w:val="22"/>
          <w:szCs w:val="28"/>
        </w:rPr>
        <w:t xml:space="preserve"> level tariff. </w:t>
      </w:r>
      <w:r w:rsidR="00D80232">
        <w:rPr>
          <w:rFonts w:ascii="Arial" w:hAnsi="Arial" w:cs="Arial"/>
          <w:sz w:val="22"/>
          <w:szCs w:val="28"/>
        </w:rPr>
        <w:t>Furthermore they contractually form</w:t>
      </w:r>
      <w:r w:rsidR="007D2455">
        <w:rPr>
          <w:rFonts w:ascii="Arial" w:hAnsi="Arial" w:cs="Arial"/>
          <w:sz w:val="22"/>
          <w:szCs w:val="28"/>
        </w:rPr>
        <w:t xml:space="preserve"> part of the critical care provision at the Trust and thus received direct Intensive Care Unit oversight</w:t>
      </w:r>
      <w:r w:rsidR="00D80232">
        <w:rPr>
          <w:rFonts w:ascii="Arial" w:hAnsi="Arial" w:cs="Arial"/>
          <w:sz w:val="22"/>
          <w:szCs w:val="28"/>
        </w:rPr>
        <w:t xml:space="preserve"> in terms of standards and guidelines.</w:t>
      </w:r>
    </w:p>
    <w:p w:rsidR="005D182E" w:rsidRDefault="005D182E" w:rsidP="007D2455">
      <w:pPr>
        <w:jc w:val="both"/>
        <w:rPr>
          <w:rFonts w:ascii="Arial" w:hAnsi="Arial" w:cs="Arial"/>
          <w:sz w:val="22"/>
          <w:szCs w:val="28"/>
        </w:rPr>
      </w:pPr>
    </w:p>
    <w:p w:rsidR="003333CA" w:rsidRDefault="00A22D3F" w:rsidP="007D2455">
      <w:pPr>
        <w:jc w:val="both"/>
        <w:rPr>
          <w:rFonts w:ascii="Arial" w:hAnsi="Arial" w:cs="Arial"/>
          <w:sz w:val="22"/>
          <w:szCs w:val="28"/>
        </w:rPr>
      </w:pPr>
      <w:r>
        <w:rPr>
          <w:rFonts w:ascii="Arial" w:hAnsi="Arial" w:cs="Arial"/>
          <w:sz w:val="22"/>
          <w:szCs w:val="28"/>
        </w:rPr>
        <w:t>Therefore it would be appropriate that acute NIV patients could expect to possibly be cared for in mixed sex accommodation</w:t>
      </w:r>
      <w:r w:rsidR="00D80232">
        <w:rPr>
          <w:rFonts w:ascii="Arial" w:hAnsi="Arial" w:cs="Arial"/>
          <w:sz w:val="22"/>
          <w:szCs w:val="28"/>
        </w:rPr>
        <w:t xml:space="preserve"> as such guidelines specify</w:t>
      </w:r>
      <w:r>
        <w:rPr>
          <w:rFonts w:ascii="Arial" w:hAnsi="Arial" w:cs="Arial"/>
          <w:sz w:val="22"/>
          <w:szCs w:val="28"/>
        </w:rPr>
        <w:t xml:space="preserve">. </w:t>
      </w:r>
      <w:r w:rsidR="007D2455">
        <w:rPr>
          <w:rFonts w:ascii="Arial" w:hAnsi="Arial" w:cs="Arial"/>
          <w:sz w:val="22"/>
          <w:szCs w:val="28"/>
        </w:rPr>
        <w:t xml:space="preserve">However, </w:t>
      </w:r>
      <w:r w:rsidR="007D2455" w:rsidRPr="00970B49">
        <w:rPr>
          <w:rFonts w:ascii="Arial" w:hAnsi="Arial" w:cs="Arial"/>
          <w:sz w:val="22"/>
          <w:szCs w:val="22"/>
        </w:rPr>
        <w:t xml:space="preserve">given the </w:t>
      </w:r>
      <w:r w:rsidR="00970B49" w:rsidRPr="00970B49">
        <w:rPr>
          <w:rFonts w:ascii="Arial" w:hAnsi="Arial" w:cs="Arial"/>
          <w:sz w:val="22"/>
          <w:szCs w:val="22"/>
        </w:rPr>
        <w:t>variation in acuity of NIV, from level 2 in the acute phase, ranging to a level 1a or 1b in the latter stages of weaning</w:t>
      </w:r>
      <w:r w:rsidR="007D2455">
        <w:rPr>
          <w:rFonts w:ascii="Arial" w:hAnsi="Arial" w:cs="Arial"/>
          <w:sz w:val="22"/>
          <w:szCs w:val="28"/>
        </w:rPr>
        <w:t xml:space="preserve">, the </w:t>
      </w:r>
      <w:r w:rsidR="003333CA" w:rsidRPr="003333CA">
        <w:rPr>
          <w:rFonts w:ascii="Arial" w:hAnsi="Arial" w:cs="Arial"/>
          <w:sz w:val="22"/>
          <w:szCs w:val="28"/>
        </w:rPr>
        <w:t xml:space="preserve">Delivering Single </w:t>
      </w:r>
      <w:r w:rsidR="007D2455">
        <w:rPr>
          <w:rFonts w:ascii="Arial" w:hAnsi="Arial" w:cs="Arial"/>
          <w:sz w:val="22"/>
          <w:szCs w:val="28"/>
        </w:rPr>
        <w:t xml:space="preserve">Sex Accommodation Policy (DSSA) should still apply to avoid breach of this principle at times when patients are being weaned from acute care. </w:t>
      </w:r>
      <w:r>
        <w:rPr>
          <w:rFonts w:ascii="Arial" w:hAnsi="Arial" w:cs="Arial"/>
          <w:sz w:val="22"/>
          <w:szCs w:val="28"/>
        </w:rPr>
        <w:t>As a result 8 beds over 2 bays were designated for NIV patients and kept at 1 male bay and 1 female bay at all times.</w:t>
      </w:r>
    </w:p>
    <w:p w:rsidR="007D2455" w:rsidRDefault="007D2455" w:rsidP="007D2455">
      <w:pPr>
        <w:jc w:val="both"/>
        <w:rPr>
          <w:rFonts w:ascii="Arial" w:hAnsi="Arial" w:cs="Arial"/>
          <w:sz w:val="22"/>
          <w:szCs w:val="28"/>
        </w:rPr>
      </w:pPr>
    </w:p>
    <w:p w:rsidR="007D2455" w:rsidRDefault="007D2455" w:rsidP="007D2455">
      <w:pPr>
        <w:jc w:val="both"/>
        <w:rPr>
          <w:rFonts w:ascii="Arial" w:hAnsi="Arial" w:cs="Arial"/>
          <w:sz w:val="20"/>
        </w:rPr>
      </w:pPr>
      <w:r>
        <w:rPr>
          <w:rFonts w:ascii="Arial" w:hAnsi="Arial" w:cs="Arial"/>
          <w:sz w:val="22"/>
          <w:szCs w:val="28"/>
        </w:rPr>
        <w:t xml:space="preserve">It was also </w:t>
      </w:r>
      <w:r w:rsidR="00A22D3F">
        <w:rPr>
          <w:rFonts w:ascii="Arial" w:hAnsi="Arial" w:cs="Arial"/>
          <w:sz w:val="22"/>
          <w:szCs w:val="28"/>
        </w:rPr>
        <w:t xml:space="preserve">highlighted at this time that </w:t>
      </w:r>
      <w:r w:rsidR="00DE2D18">
        <w:rPr>
          <w:rFonts w:ascii="Arial" w:hAnsi="Arial" w:cs="Arial"/>
          <w:sz w:val="22"/>
          <w:szCs w:val="28"/>
        </w:rPr>
        <w:t>staffing levels required review to ensure adequate nursing ratios were established according to intensive care unit standards.</w:t>
      </w:r>
      <w:r w:rsidR="00E46F31">
        <w:rPr>
          <w:rFonts w:ascii="Arial" w:hAnsi="Arial" w:cs="Arial"/>
          <w:sz w:val="22"/>
          <w:szCs w:val="28"/>
        </w:rPr>
        <w:t xml:space="preserve"> </w:t>
      </w:r>
      <w:r w:rsidR="00E46F31" w:rsidRPr="00E46F31">
        <w:rPr>
          <w:rFonts w:ascii="Arial" w:hAnsi="Arial" w:cs="Arial"/>
          <w:sz w:val="22"/>
          <w:szCs w:val="28"/>
        </w:rPr>
        <w:t>B</w:t>
      </w:r>
      <w:r w:rsidR="00E46F31">
        <w:rPr>
          <w:rFonts w:ascii="Arial" w:hAnsi="Arial" w:cs="Arial"/>
          <w:sz w:val="22"/>
          <w:szCs w:val="28"/>
        </w:rPr>
        <w:t xml:space="preserve">ritish </w:t>
      </w:r>
      <w:r w:rsidR="00E46F31" w:rsidRPr="00E46F31">
        <w:rPr>
          <w:rFonts w:ascii="Arial" w:hAnsi="Arial" w:cs="Arial"/>
          <w:sz w:val="22"/>
          <w:szCs w:val="28"/>
        </w:rPr>
        <w:t>T</w:t>
      </w:r>
      <w:r w:rsidR="00E46F31">
        <w:rPr>
          <w:rFonts w:ascii="Arial" w:hAnsi="Arial" w:cs="Arial"/>
          <w:sz w:val="22"/>
          <w:szCs w:val="28"/>
        </w:rPr>
        <w:t xml:space="preserve">horacic </w:t>
      </w:r>
      <w:r w:rsidR="00E46F31" w:rsidRPr="00E46F31">
        <w:rPr>
          <w:rFonts w:ascii="Arial" w:hAnsi="Arial" w:cs="Arial"/>
          <w:sz w:val="22"/>
          <w:szCs w:val="28"/>
        </w:rPr>
        <w:t>S</w:t>
      </w:r>
      <w:r w:rsidR="00E46F31">
        <w:rPr>
          <w:rFonts w:ascii="Arial" w:hAnsi="Arial" w:cs="Arial"/>
          <w:sz w:val="22"/>
          <w:szCs w:val="28"/>
        </w:rPr>
        <w:t>ociety</w:t>
      </w:r>
      <w:r w:rsidR="00E46F31" w:rsidRPr="00E46F31">
        <w:rPr>
          <w:rFonts w:ascii="Arial" w:hAnsi="Arial" w:cs="Arial"/>
          <w:sz w:val="22"/>
          <w:szCs w:val="28"/>
        </w:rPr>
        <w:t xml:space="preserve"> guideline suggests a 1:2 nursing ratio in </w:t>
      </w:r>
      <w:r w:rsidR="00E46F31">
        <w:rPr>
          <w:rFonts w:ascii="Arial" w:hAnsi="Arial" w:cs="Arial"/>
          <w:sz w:val="22"/>
          <w:szCs w:val="28"/>
        </w:rPr>
        <w:t>the first 12 hours</w:t>
      </w:r>
      <w:r w:rsidR="005D182E">
        <w:rPr>
          <w:rFonts w:ascii="Arial" w:hAnsi="Arial" w:cs="Arial"/>
          <w:sz w:val="22"/>
          <w:szCs w:val="28"/>
        </w:rPr>
        <w:t xml:space="preserve"> of treatment for NIV patients</w:t>
      </w:r>
      <w:r w:rsidR="00801773" w:rsidRPr="009F4D18">
        <w:rPr>
          <w:rFonts w:ascii="Arial" w:hAnsi="Arial" w:cs="Arial"/>
          <w:sz w:val="20"/>
        </w:rPr>
        <w:t xml:space="preserve"> </w:t>
      </w:r>
    </w:p>
    <w:p w:rsidR="005D182E" w:rsidRDefault="005D182E" w:rsidP="007D2455">
      <w:pPr>
        <w:jc w:val="both"/>
        <w:rPr>
          <w:rFonts w:ascii="Arial" w:hAnsi="Arial" w:cs="Arial"/>
          <w:sz w:val="20"/>
        </w:rPr>
      </w:pPr>
    </w:p>
    <w:p w:rsidR="008F2B4D" w:rsidRDefault="008F2B4D" w:rsidP="008F2B4D">
      <w:pPr>
        <w:pStyle w:val="NoSpacing"/>
        <w:rPr>
          <w:rFonts w:ascii="Arial" w:eastAsiaTheme="minorHAnsi" w:hAnsi="Arial" w:cs="Arial"/>
        </w:rPr>
      </w:pPr>
      <w:r>
        <w:rPr>
          <w:rFonts w:ascii="Arial" w:eastAsiaTheme="minorHAnsi" w:hAnsi="Arial" w:cs="Arial"/>
        </w:rPr>
        <w:t>“</w:t>
      </w:r>
      <w:r w:rsidRPr="008F2B4D">
        <w:rPr>
          <w:rFonts w:ascii="Arial" w:eastAsiaTheme="minorHAnsi" w:hAnsi="Arial" w:cs="Arial"/>
        </w:rPr>
        <w:t>Ensure the provision of level two critical care on Ward 43 includes nursing staffing levels in line with the ‘Core Standards for Intensive Care Units’ published by the Intensive Care Society and the commissioners expectations.</w:t>
      </w:r>
    </w:p>
    <w:p w:rsidR="005D182E" w:rsidRPr="008F2B4D" w:rsidRDefault="005D182E" w:rsidP="008F2B4D">
      <w:pPr>
        <w:pStyle w:val="NoSpacing"/>
        <w:rPr>
          <w:rFonts w:ascii="Arial" w:eastAsiaTheme="minorHAnsi" w:hAnsi="Arial" w:cs="Arial"/>
        </w:rPr>
      </w:pPr>
    </w:p>
    <w:p w:rsidR="008F2B4D" w:rsidRDefault="008F2B4D" w:rsidP="008F2B4D">
      <w:pPr>
        <w:pStyle w:val="NoSpacing"/>
        <w:rPr>
          <w:rFonts w:ascii="Arial" w:eastAsiaTheme="minorHAnsi" w:hAnsi="Arial" w:cs="Arial"/>
        </w:rPr>
      </w:pPr>
      <w:r w:rsidRPr="008F2B4D">
        <w:rPr>
          <w:rFonts w:ascii="Arial" w:eastAsiaTheme="minorHAnsi" w:hAnsi="Arial" w:cs="Arial"/>
        </w:rPr>
        <w:t>Ensure patients requiring critical care at level two on Ward 43 are cared for by appropriately trained staff in line with the ‘Core Standards for Intensive Care Units’ published by the Intensive Care Society.</w:t>
      </w:r>
      <w:r w:rsidR="005D182E">
        <w:rPr>
          <w:rFonts w:ascii="Arial" w:eastAsiaTheme="minorHAnsi" w:hAnsi="Arial" w:cs="Arial"/>
        </w:rPr>
        <w:t>”</w:t>
      </w:r>
    </w:p>
    <w:p w:rsidR="005D182E" w:rsidRDefault="005D182E" w:rsidP="008F2B4D">
      <w:pPr>
        <w:pStyle w:val="NoSpacing"/>
        <w:rPr>
          <w:rFonts w:ascii="Arial" w:eastAsiaTheme="minorHAnsi" w:hAnsi="Arial" w:cs="Arial"/>
        </w:rPr>
      </w:pPr>
    </w:p>
    <w:p w:rsidR="00D80232" w:rsidRDefault="00D80232" w:rsidP="008F2B4D">
      <w:pPr>
        <w:pStyle w:val="NoSpacing"/>
        <w:rPr>
          <w:rFonts w:ascii="Arial" w:eastAsiaTheme="minorHAnsi" w:hAnsi="Arial" w:cs="Arial"/>
        </w:rPr>
      </w:pPr>
      <w:r>
        <w:rPr>
          <w:rFonts w:ascii="Arial" w:eastAsiaTheme="minorHAnsi" w:hAnsi="Arial" w:cs="Arial"/>
        </w:rPr>
        <w:t>Consequently nursing establishment on the ward has addressed this matter and now has sufficient nursing and skillset levels. The table below depicts the nursing levels within the current establishment and the point at which additional nursing staff would be required according to patient level demands.</w:t>
      </w:r>
    </w:p>
    <w:p w:rsidR="005E739B" w:rsidRDefault="005E739B" w:rsidP="008F2B4D">
      <w:pPr>
        <w:pStyle w:val="NoSpacing"/>
        <w:rPr>
          <w:rFonts w:ascii="Arial" w:eastAsiaTheme="minorHAnsi" w:hAnsi="Arial" w:cs="Arial"/>
        </w:rPr>
      </w:pPr>
    </w:p>
    <w:p w:rsidR="005E739B" w:rsidRDefault="005E739B" w:rsidP="008F2B4D">
      <w:pPr>
        <w:pStyle w:val="NoSpacing"/>
        <w:rPr>
          <w:rFonts w:ascii="Arial" w:eastAsiaTheme="minorHAnsi" w:hAnsi="Arial" w:cs="Arial"/>
        </w:rPr>
      </w:pPr>
    </w:p>
    <w:p w:rsidR="005E739B" w:rsidRDefault="005E739B" w:rsidP="008F2B4D">
      <w:pPr>
        <w:pStyle w:val="NoSpacing"/>
        <w:rPr>
          <w:rFonts w:ascii="Arial" w:eastAsiaTheme="minorHAnsi" w:hAnsi="Arial" w:cs="Arial"/>
        </w:rPr>
      </w:pPr>
    </w:p>
    <w:p w:rsidR="005E739B" w:rsidRDefault="005E739B" w:rsidP="008F2B4D">
      <w:pPr>
        <w:pStyle w:val="NoSpacing"/>
        <w:rPr>
          <w:rFonts w:ascii="Arial" w:eastAsiaTheme="minorHAnsi" w:hAnsi="Arial" w:cs="Arial"/>
        </w:rPr>
      </w:pPr>
    </w:p>
    <w:p w:rsidR="005E739B" w:rsidRDefault="005E739B" w:rsidP="008F2B4D">
      <w:pPr>
        <w:pStyle w:val="NoSpacing"/>
        <w:rPr>
          <w:rFonts w:ascii="Arial" w:eastAsiaTheme="minorHAnsi" w:hAnsi="Arial" w:cs="Arial"/>
        </w:rPr>
      </w:pPr>
    </w:p>
    <w:p w:rsidR="005E739B" w:rsidRDefault="005E739B" w:rsidP="008F2B4D">
      <w:pPr>
        <w:pStyle w:val="NoSpacing"/>
        <w:rPr>
          <w:rFonts w:ascii="Arial" w:eastAsiaTheme="minorHAnsi" w:hAnsi="Arial" w:cs="Arial"/>
        </w:rPr>
      </w:pPr>
    </w:p>
    <w:p w:rsidR="005E739B" w:rsidRDefault="005E739B" w:rsidP="008F2B4D">
      <w:pPr>
        <w:pStyle w:val="NoSpacing"/>
        <w:rPr>
          <w:rFonts w:ascii="Arial" w:eastAsiaTheme="minorHAnsi" w:hAnsi="Arial" w:cs="Arial"/>
        </w:rPr>
      </w:pPr>
    </w:p>
    <w:p w:rsidR="005E739B" w:rsidRDefault="005E739B" w:rsidP="008F2B4D">
      <w:pPr>
        <w:pStyle w:val="NoSpacing"/>
        <w:rPr>
          <w:rFonts w:ascii="Arial" w:eastAsiaTheme="minorHAnsi" w:hAnsi="Arial" w:cs="Arial"/>
        </w:rPr>
      </w:pPr>
    </w:p>
    <w:p w:rsidR="005E739B" w:rsidRDefault="005E739B" w:rsidP="008F2B4D">
      <w:pPr>
        <w:pStyle w:val="NoSpacing"/>
        <w:rPr>
          <w:rFonts w:ascii="Arial" w:eastAsiaTheme="minorHAnsi" w:hAnsi="Arial" w:cs="Arial"/>
        </w:rPr>
      </w:pPr>
    </w:p>
    <w:p w:rsidR="005E739B" w:rsidRDefault="005E739B" w:rsidP="008F2B4D">
      <w:pPr>
        <w:pStyle w:val="NoSpacing"/>
        <w:rPr>
          <w:rFonts w:ascii="Arial" w:eastAsiaTheme="minorHAnsi" w:hAnsi="Arial" w:cs="Arial"/>
        </w:rPr>
      </w:pPr>
    </w:p>
    <w:p w:rsidR="005E739B" w:rsidRDefault="005E739B" w:rsidP="008F2B4D">
      <w:pPr>
        <w:pStyle w:val="NoSpacing"/>
        <w:rPr>
          <w:rFonts w:ascii="Arial" w:eastAsiaTheme="minorHAnsi" w:hAnsi="Arial" w:cs="Arial"/>
        </w:rPr>
      </w:pPr>
    </w:p>
    <w:p w:rsidR="005E739B" w:rsidRDefault="005E739B" w:rsidP="008F2B4D">
      <w:pPr>
        <w:pStyle w:val="NoSpacing"/>
        <w:rPr>
          <w:rFonts w:ascii="Arial" w:eastAsiaTheme="minorHAnsi" w:hAnsi="Arial" w:cs="Arial"/>
        </w:rPr>
      </w:pPr>
    </w:p>
    <w:p w:rsidR="005E739B" w:rsidRDefault="005E739B" w:rsidP="008F2B4D">
      <w:pPr>
        <w:pStyle w:val="NoSpacing"/>
        <w:rPr>
          <w:rFonts w:ascii="Arial" w:eastAsiaTheme="minorHAnsi" w:hAnsi="Arial" w:cs="Arial"/>
        </w:rPr>
      </w:pPr>
    </w:p>
    <w:p w:rsidR="005E739B" w:rsidRDefault="005E739B" w:rsidP="008F2B4D">
      <w:pPr>
        <w:pStyle w:val="NoSpacing"/>
        <w:rPr>
          <w:rFonts w:ascii="Arial" w:eastAsiaTheme="minorHAnsi" w:hAnsi="Arial" w:cs="Arial"/>
        </w:rPr>
      </w:pPr>
    </w:p>
    <w:p w:rsidR="005E739B" w:rsidRDefault="005E739B" w:rsidP="008F2B4D">
      <w:pPr>
        <w:pStyle w:val="NoSpacing"/>
        <w:rPr>
          <w:rFonts w:ascii="Arial" w:eastAsiaTheme="minorHAnsi" w:hAnsi="Arial" w:cs="Arial"/>
        </w:rPr>
      </w:pPr>
    </w:p>
    <w:tbl>
      <w:tblPr>
        <w:tblStyle w:val="TableGrid"/>
        <w:tblpPr w:leftFromText="180" w:rightFromText="180" w:vertAnchor="text" w:horzAnchor="margin" w:tblpXSpec="center" w:tblpY="234"/>
        <w:tblW w:w="9004" w:type="dxa"/>
        <w:tblLook w:val="04A0" w:firstRow="1" w:lastRow="0" w:firstColumn="1" w:lastColumn="0" w:noHBand="0" w:noVBand="1"/>
      </w:tblPr>
      <w:tblGrid>
        <w:gridCol w:w="3856"/>
        <w:gridCol w:w="1796"/>
        <w:gridCol w:w="1415"/>
        <w:gridCol w:w="1937"/>
      </w:tblGrid>
      <w:tr w:rsidR="00D80232" w:rsidTr="009303ED">
        <w:trPr>
          <w:trHeight w:val="1213"/>
        </w:trPr>
        <w:tc>
          <w:tcPr>
            <w:tcW w:w="3856" w:type="dxa"/>
          </w:tcPr>
          <w:p w:rsidR="00D80232" w:rsidRPr="00E77963" w:rsidRDefault="00D80232" w:rsidP="00F0171C">
            <w:pPr>
              <w:rPr>
                <w:rFonts w:ascii="Arial" w:hAnsi="Arial" w:cs="Arial"/>
                <w:b/>
              </w:rPr>
            </w:pPr>
            <w:r w:rsidRPr="00E77963">
              <w:rPr>
                <w:rFonts w:ascii="Arial" w:hAnsi="Arial" w:cs="Arial"/>
                <w:b/>
              </w:rPr>
              <w:t>Patient numbers in acute phase of NIV</w:t>
            </w:r>
          </w:p>
        </w:tc>
        <w:tc>
          <w:tcPr>
            <w:tcW w:w="1796" w:type="dxa"/>
          </w:tcPr>
          <w:p w:rsidR="00D80232" w:rsidRPr="00E77963" w:rsidRDefault="00D80232" w:rsidP="00F0171C">
            <w:pPr>
              <w:rPr>
                <w:rFonts w:ascii="Arial" w:hAnsi="Arial" w:cs="Arial"/>
                <w:b/>
              </w:rPr>
            </w:pPr>
            <w:r>
              <w:rPr>
                <w:rFonts w:ascii="Arial" w:hAnsi="Arial" w:cs="Arial"/>
                <w:b/>
              </w:rPr>
              <w:t>Total numbers of staff RN</w:t>
            </w:r>
          </w:p>
        </w:tc>
        <w:tc>
          <w:tcPr>
            <w:tcW w:w="1415" w:type="dxa"/>
          </w:tcPr>
          <w:p w:rsidR="00D80232" w:rsidRPr="00454A34" w:rsidRDefault="00D80232" w:rsidP="00F0171C">
            <w:pPr>
              <w:rPr>
                <w:rFonts w:ascii="Arial" w:hAnsi="Arial" w:cs="Arial"/>
                <w:b/>
              </w:rPr>
            </w:pPr>
            <w:r>
              <w:rPr>
                <w:rFonts w:ascii="Arial" w:hAnsi="Arial" w:cs="Arial"/>
                <w:b/>
              </w:rPr>
              <w:t>Total numbers of NIV trained staff</w:t>
            </w:r>
          </w:p>
        </w:tc>
        <w:tc>
          <w:tcPr>
            <w:tcW w:w="1937" w:type="dxa"/>
          </w:tcPr>
          <w:p w:rsidR="00D80232" w:rsidRPr="00454A34" w:rsidRDefault="00D80232" w:rsidP="00F0171C">
            <w:pPr>
              <w:rPr>
                <w:rFonts w:ascii="Arial" w:hAnsi="Arial" w:cs="Arial"/>
                <w:b/>
              </w:rPr>
            </w:pPr>
            <w:r w:rsidRPr="00454A34">
              <w:rPr>
                <w:rFonts w:ascii="Arial" w:hAnsi="Arial" w:cs="Arial"/>
                <w:b/>
              </w:rPr>
              <w:t>Action</w:t>
            </w:r>
          </w:p>
        </w:tc>
      </w:tr>
      <w:tr w:rsidR="00D80232" w:rsidTr="009303ED">
        <w:trPr>
          <w:trHeight w:val="237"/>
        </w:trPr>
        <w:tc>
          <w:tcPr>
            <w:tcW w:w="3856" w:type="dxa"/>
          </w:tcPr>
          <w:p w:rsidR="00D80232" w:rsidRPr="00E77963" w:rsidRDefault="00D80232" w:rsidP="00F0171C">
            <w:pPr>
              <w:jc w:val="center"/>
              <w:rPr>
                <w:rFonts w:ascii="Arial" w:hAnsi="Arial" w:cs="Arial"/>
              </w:rPr>
            </w:pPr>
          </w:p>
        </w:tc>
        <w:tc>
          <w:tcPr>
            <w:tcW w:w="1796" w:type="dxa"/>
          </w:tcPr>
          <w:p w:rsidR="00D80232" w:rsidRPr="00E77963" w:rsidRDefault="00D80232" w:rsidP="00F0171C">
            <w:pPr>
              <w:jc w:val="center"/>
              <w:rPr>
                <w:rFonts w:ascii="Arial" w:hAnsi="Arial" w:cs="Arial"/>
              </w:rPr>
            </w:pPr>
          </w:p>
        </w:tc>
        <w:tc>
          <w:tcPr>
            <w:tcW w:w="1415" w:type="dxa"/>
          </w:tcPr>
          <w:p w:rsidR="00D80232" w:rsidRPr="00E77963" w:rsidRDefault="00D80232" w:rsidP="00F0171C">
            <w:pPr>
              <w:jc w:val="center"/>
              <w:rPr>
                <w:rFonts w:ascii="Arial" w:hAnsi="Arial" w:cs="Arial"/>
              </w:rPr>
            </w:pPr>
          </w:p>
        </w:tc>
        <w:tc>
          <w:tcPr>
            <w:tcW w:w="1937" w:type="dxa"/>
          </w:tcPr>
          <w:p w:rsidR="00D80232" w:rsidRPr="00E77963" w:rsidRDefault="00D80232" w:rsidP="00F0171C">
            <w:pPr>
              <w:jc w:val="center"/>
              <w:rPr>
                <w:rFonts w:ascii="Arial" w:hAnsi="Arial" w:cs="Arial"/>
              </w:rPr>
            </w:pPr>
          </w:p>
        </w:tc>
      </w:tr>
      <w:tr w:rsidR="00D80232" w:rsidTr="009303ED">
        <w:trPr>
          <w:trHeight w:val="237"/>
        </w:trPr>
        <w:tc>
          <w:tcPr>
            <w:tcW w:w="3856" w:type="dxa"/>
          </w:tcPr>
          <w:p w:rsidR="00D80232" w:rsidRPr="00E77963" w:rsidRDefault="00D80232" w:rsidP="00F0171C">
            <w:pPr>
              <w:jc w:val="center"/>
              <w:rPr>
                <w:rFonts w:ascii="Arial" w:hAnsi="Arial" w:cs="Arial"/>
              </w:rPr>
            </w:pPr>
            <w:r w:rsidRPr="00E77963">
              <w:rPr>
                <w:rFonts w:ascii="Arial" w:hAnsi="Arial" w:cs="Arial"/>
              </w:rPr>
              <w:t>1</w:t>
            </w:r>
          </w:p>
        </w:tc>
        <w:tc>
          <w:tcPr>
            <w:tcW w:w="1796" w:type="dxa"/>
          </w:tcPr>
          <w:p w:rsidR="00D80232" w:rsidRPr="00E77963" w:rsidRDefault="00D80232" w:rsidP="00F0171C">
            <w:pPr>
              <w:jc w:val="center"/>
              <w:rPr>
                <w:rFonts w:ascii="Arial" w:hAnsi="Arial" w:cs="Arial"/>
              </w:rPr>
            </w:pPr>
            <w:r>
              <w:rPr>
                <w:rFonts w:ascii="Arial" w:hAnsi="Arial" w:cs="Arial"/>
              </w:rPr>
              <w:t>5</w:t>
            </w:r>
          </w:p>
        </w:tc>
        <w:tc>
          <w:tcPr>
            <w:tcW w:w="1415" w:type="dxa"/>
          </w:tcPr>
          <w:p w:rsidR="00D80232" w:rsidRPr="00E77963" w:rsidRDefault="00D80232" w:rsidP="00F0171C">
            <w:pPr>
              <w:jc w:val="center"/>
              <w:rPr>
                <w:rFonts w:ascii="Arial" w:hAnsi="Arial" w:cs="Arial"/>
              </w:rPr>
            </w:pPr>
            <w:r>
              <w:rPr>
                <w:rFonts w:ascii="Arial" w:hAnsi="Arial" w:cs="Arial"/>
              </w:rPr>
              <w:t>1</w:t>
            </w:r>
          </w:p>
        </w:tc>
        <w:tc>
          <w:tcPr>
            <w:tcW w:w="1937" w:type="dxa"/>
          </w:tcPr>
          <w:p w:rsidR="00D80232" w:rsidRPr="00A20039" w:rsidRDefault="00D80232" w:rsidP="00F0171C">
            <w:pPr>
              <w:jc w:val="center"/>
              <w:rPr>
                <w:rFonts w:ascii="Arial" w:hAnsi="Arial" w:cs="Arial"/>
              </w:rPr>
            </w:pPr>
            <w:r>
              <w:rPr>
                <w:rFonts w:ascii="Arial" w:hAnsi="Arial" w:cs="Arial"/>
              </w:rPr>
              <w:t>A</w:t>
            </w:r>
          </w:p>
        </w:tc>
      </w:tr>
      <w:tr w:rsidR="00D80232" w:rsidTr="009303ED">
        <w:trPr>
          <w:trHeight w:val="263"/>
        </w:trPr>
        <w:tc>
          <w:tcPr>
            <w:tcW w:w="3856" w:type="dxa"/>
          </w:tcPr>
          <w:p w:rsidR="00D80232" w:rsidRPr="00E77963" w:rsidRDefault="00D80232" w:rsidP="00F0171C">
            <w:pPr>
              <w:jc w:val="center"/>
              <w:rPr>
                <w:rFonts w:ascii="Arial" w:hAnsi="Arial" w:cs="Arial"/>
              </w:rPr>
            </w:pPr>
            <w:r w:rsidRPr="00E77963">
              <w:rPr>
                <w:rFonts w:ascii="Arial" w:hAnsi="Arial" w:cs="Arial"/>
              </w:rPr>
              <w:t>2</w:t>
            </w:r>
          </w:p>
        </w:tc>
        <w:tc>
          <w:tcPr>
            <w:tcW w:w="1796" w:type="dxa"/>
          </w:tcPr>
          <w:p w:rsidR="00D80232" w:rsidRPr="00E77963" w:rsidRDefault="00D80232" w:rsidP="00F0171C">
            <w:pPr>
              <w:jc w:val="center"/>
              <w:rPr>
                <w:rFonts w:ascii="Arial" w:hAnsi="Arial" w:cs="Arial"/>
              </w:rPr>
            </w:pPr>
            <w:r>
              <w:rPr>
                <w:rFonts w:ascii="Arial" w:hAnsi="Arial" w:cs="Arial"/>
              </w:rPr>
              <w:t>5</w:t>
            </w:r>
          </w:p>
        </w:tc>
        <w:tc>
          <w:tcPr>
            <w:tcW w:w="1415" w:type="dxa"/>
          </w:tcPr>
          <w:p w:rsidR="00D80232" w:rsidRPr="00E77963" w:rsidRDefault="00D80232" w:rsidP="00F0171C">
            <w:pPr>
              <w:jc w:val="center"/>
              <w:rPr>
                <w:rFonts w:ascii="Arial" w:hAnsi="Arial" w:cs="Arial"/>
              </w:rPr>
            </w:pPr>
            <w:r>
              <w:rPr>
                <w:rFonts w:ascii="Arial" w:hAnsi="Arial" w:cs="Arial"/>
              </w:rPr>
              <w:t>1</w:t>
            </w:r>
          </w:p>
        </w:tc>
        <w:tc>
          <w:tcPr>
            <w:tcW w:w="1937" w:type="dxa"/>
          </w:tcPr>
          <w:p w:rsidR="00D80232" w:rsidRPr="00A20039" w:rsidRDefault="00D80232" w:rsidP="00F0171C">
            <w:pPr>
              <w:jc w:val="center"/>
            </w:pPr>
            <w:r>
              <w:t>A</w:t>
            </w:r>
          </w:p>
        </w:tc>
      </w:tr>
      <w:tr w:rsidR="00D80232" w:rsidTr="009303ED">
        <w:trPr>
          <w:trHeight w:val="237"/>
        </w:trPr>
        <w:tc>
          <w:tcPr>
            <w:tcW w:w="3856" w:type="dxa"/>
          </w:tcPr>
          <w:p w:rsidR="00D80232" w:rsidRPr="009C0796" w:rsidRDefault="00D80232" w:rsidP="00F0171C">
            <w:pPr>
              <w:jc w:val="center"/>
              <w:rPr>
                <w:rFonts w:ascii="Arial" w:hAnsi="Arial" w:cs="Arial"/>
              </w:rPr>
            </w:pPr>
            <w:r w:rsidRPr="009C0796">
              <w:rPr>
                <w:rFonts w:ascii="Arial" w:hAnsi="Arial" w:cs="Arial"/>
              </w:rPr>
              <w:t>3</w:t>
            </w:r>
          </w:p>
        </w:tc>
        <w:tc>
          <w:tcPr>
            <w:tcW w:w="1796" w:type="dxa"/>
          </w:tcPr>
          <w:p w:rsidR="00D80232" w:rsidRPr="009C0796" w:rsidRDefault="00D80232" w:rsidP="00F0171C">
            <w:pPr>
              <w:jc w:val="center"/>
              <w:rPr>
                <w:rFonts w:ascii="Arial" w:hAnsi="Arial" w:cs="Arial"/>
              </w:rPr>
            </w:pPr>
            <w:r w:rsidRPr="009C0796">
              <w:rPr>
                <w:rFonts w:ascii="Arial" w:hAnsi="Arial" w:cs="Arial"/>
              </w:rPr>
              <w:t>5</w:t>
            </w:r>
          </w:p>
        </w:tc>
        <w:tc>
          <w:tcPr>
            <w:tcW w:w="1415" w:type="dxa"/>
          </w:tcPr>
          <w:p w:rsidR="00D80232" w:rsidRPr="00E77963" w:rsidRDefault="00D80232" w:rsidP="00F0171C">
            <w:pPr>
              <w:jc w:val="center"/>
              <w:rPr>
                <w:rFonts w:ascii="Arial" w:hAnsi="Arial" w:cs="Arial"/>
              </w:rPr>
            </w:pPr>
            <w:r>
              <w:rPr>
                <w:rFonts w:ascii="Arial" w:hAnsi="Arial" w:cs="Arial"/>
              </w:rPr>
              <w:t>2</w:t>
            </w:r>
          </w:p>
        </w:tc>
        <w:tc>
          <w:tcPr>
            <w:tcW w:w="1937" w:type="dxa"/>
          </w:tcPr>
          <w:p w:rsidR="00D80232" w:rsidRPr="00A20039" w:rsidRDefault="00D80232" w:rsidP="00F0171C">
            <w:pPr>
              <w:jc w:val="center"/>
            </w:pPr>
            <w:r>
              <w:t>A</w:t>
            </w:r>
          </w:p>
        </w:tc>
      </w:tr>
      <w:tr w:rsidR="00D80232" w:rsidTr="009303ED">
        <w:trPr>
          <w:trHeight w:val="237"/>
        </w:trPr>
        <w:tc>
          <w:tcPr>
            <w:tcW w:w="3856" w:type="dxa"/>
            <w:tcBorders>
              <w:bottom w:val="single" w:sz="4" w:space="0" w:color="auto"/>
            </w:tcBorders>
          </w:tcPr>
          <w:p w:rsidR="00D80232" w:rsidRPr="009C0796" w:rsidRDefault="00D80232" w:rsidP="00F0171C">
            <w:pPr>
              <w:jc w:val="center"/>
              <w:rPr>
                <w:rFonts w:ascii="Arial" w:hAnsi="Arial" w:cs="Arial"/>
              </w:rPr>
            </w:pPr>
            <w:r w:rsidRPr="009C0796">
              <w:rPr>
                <w:rFonts w:ascii="Arial" w:hAnsi="Arial" w:cs="Arial"/>
              </w:rPr>
              <w:t>4</w:t>
            </w:r>
          </w:p>
        </w:tc>
        <w:tc>
          <w:tcPr>
            <w:tcW w:w="1796" w:type="dxa"/>
            <w:tcBorders>
              <w:bottom w:val="single" w:sz="4" w:space="0" w:color="auto"/>
            </w:tcBorders>
          </w:tcPr>
          <w:p w:rsidR="00D80232" w:rsidRPr="009C0796" w:rsidRDefault="00D80232" w:rsidP="00F0171C">
            <w:pPr>
              <w:jc w:val="center"/>
              <w:rPr>
                <w:rFonts w:ascii="Arial" w:hAnsi="Arial" w:cs="Arial"/>
              </w:rPr>
            </w:pPr>
            <w:r w:rsidRPr="009C0796">
              <w:rPr>
                <w:rFonts w:ascii="Arial" w:hAnsi="Arial" w:cs="Arial"/>
              </w:rPr>
              <w:t>5</w:t>
            </w:r>
          </w:p>
        </w:tc>
        <w:tc>
          <w:tcPr>
            <w:tcW w:w="1415" w:type="dxa"/>
            <w:tcBorders>
              <w:bottom w:val="single" w:sz="4" w:space="0" w:color="auto"/>
            </w:tcBorders>
          </w:tcPr>
          <w:p w:rsidR="00D80232" w:rsidRPr="00E77963" w:rsidRDefault="00D80232" w:rsidP="00F0171C">
            <w:pPr>
              <w:jc w:val="center"/>
              <w:rPr>
                <w:rFonts w:ascii="Arial" w:hAnsi="Arial" w:cs="Arial"/>
              </w:rPr>
            </w:pPr>
            <w:r>
              <w:rPr>
                <w:rFonts w:ascii="Arial" w:hAnsi="Arial" w:cs="Arial"/>
              </w:rPr>
              <w:t>2</w:t>
            </w:r>
          </w:p>
        </w:tc>
        <w:tc>
          <w:tcPr>
            <w:tcW w:w="1937" w:type="dxa"/>
            <w:tcBorders>
              <w:bottom w:val="single" w:sz="4" w:space="0" w:color="auto"/>
            </w:tcBorders>
          </w:tcPr>
          <w:p w:rsidR="00D80232" w:rsidRPr="00A20039" w:rsidRDefault="00D80232" w:rsidP="00F0171C">
            <w:pPr>
              <w:jc w:val="center"/>
            </w:pPr>
            <w:r>
              <w:t>A</w:t>
            </w:r>
          </w:p>
        </w:tc>
      </w:tr>
      <w:tr w:rsidR="00D80232" w:rsidTr="009303ED">
        <w:trPr>
          <w:trHeight w:val="237"/>
        </w:trPr>
        <w:tc>
          <w:tcPr>
            <w:tcW w:w="3856" w:type="dxa"/>
            <w:shd w:val="clear" w:color="auto" w:fill="00FF00"/>
          </w:tcPr>
          <w:p w:rsidR="00D80232" w:rsidRPr="009C0796" w:rsidRDefault="00D80232" w:rsidP="00F0171C">
            <w:pPr>
              <w:jc w:val="center"/>
              <w:rPr>
                <w:rFonts w:ascii="Arial" w:hAnsi="Arial" w:cs="Arial"/>
              </w:rPr>
            </w:pPr>
            <w:r w:rsidRPr="009C0796">
              <w:rPr>
                <w:rFonts w:ascii="Arial" w:hAnsi="Arial" w:cs="Arial"/>
              </w:rPr>
              <w:t>5</w:t>
            </w:r>
          </w:p>
        </w:tc>
        <w:tc>
          <w:tcPr>
            <w:tcW w:w="1796" w:type="dxa"/>
            <w:shd w:val="clear" w:color="auto" w:fill="00FF00"/>
          </w:tcPr>
          <w:p w:rsidR="00D80232" w:rsidRPr="009C0796" w:rsidRDefault="00D80232" w:rsidP="00F0171C">
            <w:pPr>
              <w:jc w:val="center"/>
              <w:rPr>
                <w:rFonts w:ascii="Arial" w:hAnsi="Arial" w:cs="Arial"/>
              </w:rPr>
            </w:pPr>
            <w:r w:rsidRPr="009C0796">
              <w:rPr>
                <w:rFonts w:ascii="Arial" w:hAnsi="Arial" w:cs="Arial"/>
              </w:rPr>
              <w:t>6</w:t>
            </w:r>
          </w:p>
        </w:tc>
        <w:tc>
          <w:tcPr>
            <w:tcW w:w="1415" w:type="dxa"/>
            <w:shd w:val="clear" w:color="auto" w:fill="00FF00"/>
          </w:tcPr>
          <w:p w:rsidR="00D80232" w:rsidRPr="009C0796" w:rsidRDefault="00D80232" w:rsidP="00F0171C">
            <w:pPr>
              <w:jc w:val="center"/>
              <w:rPr>
                <w:rFonts w:ascii="Arial" w:hAnsi="Arial" w:cs="Arial"/>
              </w:rPr>
            </w:pPr>
            <w:r>
              <w:rPr>
                <w:rFonts w:ascii="Arial" w:hAnsi="Arial" w:cs="Arial"/>
              </w:rPr>
              <w:t>3</w:t>
            </w:r>
          </w:p>
        </w:tc>
        <w:tc>
          <w:tcPr>
            <w:tcW w:w="1937" w:type="dxa"/>
            <w:shd w:val="clear" w:color="auto" w:fill="00FF00"/>
          </w:tcPr>
          <w:p w:rsidR="00D80232" w:rsidRPr="009C0796" w:rsidRDefault="00D80232" w:rsidP="00F0171C">
            <w:pPr>
              <w:jc w:val="center"/>
              <w:rPr>
                <w:rFonts w:ascii="Arial" w:hAnsi="Arial" w:cs="Arial"/>
              </w:rPr>
            </w:pPr>
            <w:r>
              <w:rPr>
                <w:rFonts w:ascii="Arial" w:hAnsi="Arial" w:cs="Arial"/>
              </w:rPr>
              <w:t>B</w:t>
            </w:r>
          </w:p>
        </w:tc>
      </w:tr>
      <w:tr w:rsidR="00D80232" w:rsidTr="009303ED">
        <w:trPr>
          <w:trHeight w:val="252"/>
        </w:trPr>
        <w:tc>
          <w:tcPr>
            <w:tcW w:w="3856" w:type="dxa"/>
            <w:shd w:val="clear" w:color="auto" w:fill="00FF00"/>
          </w:tcPr>
          <w:p w:rsidR="00D80232" w:rsidRPr="009C0796" w:rsidRDefault="00D80232" w:rsidP="00F0171C">
            <w:pPr>
              <w:jc w:val="center"/>
              <w:rPr>
                <w:rFonts w:ascii="Arial" w:hAnsi="Arial" w:cs="Arial"/>
              </w:rPr>
            </w:pPr>
            <w:r w:rsidRPr="009C0796">
              <w:rPr>
                <w:rFonts w:ascii="Arial" w:hAnsi="Arial" w:cs="Arial"/>
              </w:rPr>
              <w:t>6</w:t>
            </w:r>
          </w:p>
        </w:tc>
        <w:tc>
          <w:tcPr>
            <w:tcW w:w="1796" w:type="dxa"/>
            <w:shd w:val="clear" w:color="auto" w:fill="00FF00"/>
          </w:tcPr>
          <w:p w:rsidR="00D80232" w:rsidRPr="009C0796" w:rsidRDefault="00D80232" w:rsidP="00F0171C">
            <w:pPr>
              <w:jc w:val="center"/>
              <w:rPr>
                <w:rFonts w:ascii="Arial" w:hAnsi="Arial" w:cs="Arial"/>
              </w:rPr>
            </w:pPr>
            <w:r w:rsidRPr="009C0796">
              <w:rPr>
                <w:rFonts w:ascii="Arial" w:hAnsi="Arial" w:cs="Arial"/>
              </w:rPr>
              <w:t>6</w:t>
            </w:r>
          </w:p>
        </w:tc>
        <w:tc>
          <w:tcPr>
            <w:tcW w:w="1415" w:type="dxa"/>
            <w:shd w:val="clear" w:color="auto" w:fill="00FF00"/>
          </w:tcPr>
          <w:p w:rsidR="00D80232" w:rsidRPr="00E77963" w:rsidRDefault="00D80232" w:rsidP="00F0171C">
            <w:pPr>
              <w:jc w:val="center"/>
              <w:rPr>
                <w:rFonts w:ascii="Arial" w:hAnsi="Arial" w:cs="Arial"/>
              </w:rPr>
            </w:pPr>
            <w:r>
              <w:rPr>
                <w:rFonts w:ascii="Arial" w:hAnsi="Arial" w:cs="Arial"/>
              </w:rPr>
              <w:t>3</w:t>
            </w:r>
          </w:p>
        </w:tc>
        <w:tc>
          <w:tcPr>
            <w:tcW w:w="1937" w:type="dxa"/>
            <w:shd w:val="clear" w:color="auto" w:fill="00FF00"/>
          </w:tcPr>
          <w:p w:rsidR="00D80232" w:rsidRPr="00E77963" w:rsidRDefault="00D80232" w:rsidP="00F0171C">
            <w:pPr>
              <w:jc w:val="center"/>
              <w:rPr>
                <w:rFonts w:ascii="Arial" w:hAnsi="Arial" w:cs="Arial"/>
              </w:rPr>
            </w:pPr>
            <w:r>
              <w:rPr>
                <w:rFonts w:ascii="Arial" w:hAnsi="Arial" w:cs="Arial"/>
              </w:rPr>
              <w:t>B</w:t>
            </w:r>
          </w:p>
        </w:tc>
      </w:tr>
      <w:tr w:rsidR="00D80232" w:rsidTr="009303ED">
        <w:trPr>
          <w:trHeight w:val="237"/>
        </w:trPr>
        <w:tc>
          <w:tcPr>
            <w:tcW w:w="3856" w:type="dxa"/>
            <w:shd w:val="clear" w:color="auto" w:fill="00FF00"/>
          </w:tcPr>
          <w:p w:rsidR="00D80232" w:rsidRPr="009C0796" w:rsidRDefault="00D80232" w:rsidP="00F0171C">
            <w:pPr>
              <w:jc w:val="center"/>
              <w:rPr>
                <w:rFonts w:ascii="Arial" w:hAnsi="Arial" w:cs="Arial"/>
              </w:rPr>
            </w:pPr>
            <w:r>
              <w:rPr>
                <w:rFonts w:ascii="Arial" w:hAnsi="Arial" w:cs="Arial"/>
              </w:rPr>
              <w:t>7</w:t>
            </w:r>
          </w:p>
        </w:tc>
        <w:tc>
          <w:tcPr>
            <w:tcW w:w="1796" w:type="dxa"/>
            <w:shd w:val="clear" w:color="auto" w:fill="00FF00"/>
          </w:tcPr>
          <w:p w:rsidR="00D80232" w:rsidRPr="009C0796" w:rsidRDefault="00D80232" w:rsidP="00F0171C">
            <w:pPr>
              <w:jc w:val="center"/>
              <w:rPr>
                <w:rFonts w:ascii="Arial" w:hAnsi="Arial" w:cs="Arial"/>
              </w:rPr>
            </w:pPr>
            <w:r>
              <w:rPr>
                <w:rFonts w:ascii="Arial" w:hAnsi="Arial" w:cs="Arial"/>
              </w:rPr>
              <w:t>7</w:t>
            </w:r>
          </w:p>
        </w:tc>
        <w:tc>
          <w:tcPr>
            <w:tcW w:w="1415" w:type="dxa"/>
            <w:shd w:val="clear" w:color="auto" w:fill="00FF00"/>
          </w:tcPr>
          <w:p w:rsidR="00D80232" w:rsidRPr="00E77963" w:rsidRDefault="00D80232" w:rsidP="00F0171C">
            <w:pPr>
              <w:jc w:val="center"/>
              <w:rPr>
                <w:rFonts w:ascii="Arial" w:hAnsi="Arial" w:cs="Arial"/>
              </w:rPr>
            </w:pPr>
            <w:r>
              <w:rPr>
                <w:rFonts w:ascii="Arial" w:hAnsi="Arial" w:cs="Arial"/>
              </w:rPr>
              <w:t>4</w:t>
            </w:r>
          </w:p>
        </w:tc>
        <w:tc>
          <w:tcPr>
            <w:tcW w:w="1937" w:type="dxa"/>
            <w:shd w:val="clear" w:color="auto" w:fill="00FF00"/>
          </w:tcPr>
          <w:p w:rsidR="00D80232" w:rsidRPr="00E77963" w:rsidRDefault="00D80232" w:rsidP="00F0171C">
            <w:pPr>
              <w:jc w:val="center"/>
              <w:rPr>
                <w:rFonts w:ascii="Arial" w:hAnsi="Arial" w:cs="Arial"/>
              </w:rPr>
            </w:pPr>
            <w:r>
              <w:rPr>
                <w:rFonts w:ascii="Arial" w:hAnsi="Arial" w:cs="Arial"/>
              </w:rPr>
              <w:t>B</w:t>
            </w:r>
          </w:p>
        </w:tc>
      </w:tr>
      <w:tr w:rsidR="00D80232" w:rsidTr="009303ED">
        <w:trPr>
          <w:trHeight w:val="237"/>
        </w:trPr>
        <w:tc>
          <w:tcPr>
            <w:tcW w:w="3856" w:type="dxa"/>
            <w:shd w:val="clear" w:color="auto" w:fill="00FF00"/>
          </w:tcPr>
          <w:p w:rsidR="00D80232" w:rsidRPr="009C0796" w:rsidRDefault="00D80232" w:rsidP="00F0171C">
            <w:pPr>
              <w:jc w:val="center"/>
              <w:rPr>
                <w:rFonts w:ascii="Arial" w:hAnsi="Arial" w:cs="Arial"/>
              </w:rPr>
            </w:pPr>
            <w:r>
              <w:rPr>
                <w:rFonts w:ascii="Arial" w:hAnsi="Arial" w:cs="Arial"/>
              </w:rPr>
              <w:t>8</w:t>
            </w:r>
          </w:p>
        </w:tc>
        <w:tc>
          <w:tcPr>
            <w:tcW w:w="1796" w:type="dxa"/>
            <w:shd w:val="clear" w:color="auto" w:fill="00FF00"/>
          </w:tcPr>
          <w:p w:rsidR="00D80232" w:rsidRPr="009C0796" w:rsidRDefault="00D80232" w:rsidP="00F0171C">
            <w:pPr>
              <w:jc w:val="center"/>
              <w:rPr>
                <w:rFonts w:ascii="Arial" w:hAnsi="Arial" w:cs="Arial"/>
              </w:rPr>
            </w:pPr>
            <w:r>
              <w:rPr>
                <w:rFonts w:ascii="Arial" w:hAnsi="Arial" w:cs="Arial"/>
              </w:rPr>
              <w:t>7</w:t>
            </w:r>
          </w:p>
        </w:tc>
        <w:tc>
          <w:tcPr>
            <w:tcW w:w="1415" w:type="dxa"/>
            <w:shd w:val="clear" w:color="auto" w:fill="00FF00"/>
          </w:tcPr>
          <w:p w:rsidR="00D80232" w:rsidRPr="00E77963" w:rsidRDefault="00D80232" w:rsidP="00F0171C">
            <w:pPr>
              <w:jc w:val="center"/>
              <w:rPr>
                <w:rFonts w:ascii="Arial" w:hAnsi="Arial" w:cs="Arial"/>
              </w:rPr>
            </w:pPr>
            <w:r>
              <w:rPr>
                <w:rFonts w:ascii="Arial" w:hAnsi="Arial" w:cs="Arial"/>
              </w:rPr>
              <w:t>4</w:t>
            </w:r>
          </w:p>
        </w:tc>
        <w:tc>
          <w:tcPr>
            <w:tcW w:w="1937" w:type="dxa"/>
            <w:shd w:val="clear" w:color="auto" w:fill="00FF00"/>
          </w:tcPr>
          <w:p w:rsidR="00D80232" w:rsidRPr="00E77963" w:rsidRDefault="00D80232" w:rsidP="00F0171C">
            <w:pPr>
              <w:jc w:val="center"/>
              <w:rPr>
                <w:rFonts w:ascii="Arial" w:hAnsi="Arial" w:cs="Arial"/>
              </w:rPr>
            </w:pPr>
            <w:r>
              <w:rPr>
                <w:rFonts w:ascii="Arial" w:hAnsi="Arial" w:cs="Arial"/>
              </w:rPr>
              <w:t>B</w:t>
            </w:r>
          </w:p>
        </w:tc>
      </w:tr>
      <w:tr w:rsidR="00D80232" w:rsidTr="009303ED">
        <w:trPr>
          <w:trHeight w:val="237"/>
        </w:trPr>
        <w:tc>
          <w:tcPr>
            <w:tcW w:w="3856" w:type="dxa"/>
            <w:shd w:val="clear" w:color="auto" w:fill="00FF00"/>
          </w:tcPr>
          <w:p w:rsidR="00D80232" w:rsidRPr="009C0796" w:rsidRDefault="00D80232" w:rsidP="00F0171C">
            <w:pPr>
              <w:jc w:val="center"/>
              <w:rPr>
                <w:rFonts w:ascii="Arial" w:hAnsi="Arial" w:cs="Arial"/>
              </w:rPr>
            </w:pPr>
            <w:r>
              <w:rPr>
                <w:rFonts w:ascii="Arial" w:hAnsi="Arial" w:cs="Arial"/>
              </w:rPr>
              <w:t>9</w:t>
            </w:r>
          </w:p>
        </w:tc>
        <w:tc>
          <w:tcPr>
            <w:tcW w:w="1796" w:type="dxa"/>
            <w:shd w:val="clear" w:color="auto" w:fill="00FF00"/>
          </w:tcPr>
          <w:p w:rsidR="00D80232" w:rsidRPr="009C0796" w:rsidRDefault="00D80232" w:rsidP="00F0171C">
            <w:pPr>
              <w:jc w:val="center"/>
              <w:rPr>
                <w:rFonts w:ascii="Arial" w:hAnsi="Arial" w:cs="Arial"/>
              </w:rPr>
            </w:pPr>
            <w:r>
              <w:rPr>
                <w:rFonts w:ascii="Arial" w:hAnsi="Arial" w:cs="Arial"/>
              </w:rPr>
              <w:t>8</w:t>
            </w:r>
          </w:p>
        </w:tc>
        <w:tc>
          <w:tcPr>
            <w:tcW w:w="1415" w:type="dxa"/>
            <w:shd w:val="clear" w:color="auto" w:fill="00FF00"/>
          </w:tcPr>
          <w:p w:rsidR="00D80232" w:rsidRPr="00E77963" w:rsidRDefault="00D80232" w:rsidP="00F0171C">
            <w:pPr>
              <w:jc w:val="center"/>
              <w:rPr>
                <w:rFonts w:ascii="Arial" w:hAnsi="Arial" w:cs="Arial"/>
              </w:rPr>
            </w:pPr>
            <w:r>
              <w:rPr>
                <w:rFonts w:ascii="Arial" w:hAnsi="Arial" w:cs="Arial"/>
              </w:rPr>
              <w:t>5</w:t>
            </w:r>
          </w:p>
        </w:tc>
        <w:tc>
          <w:tcPr>
            <w:tcW w:w="1937" w:type="dxa"/>
            <w:shd w:val="clear" w:color="auto" w:fill="00FF00"/>
          </w:tcPr>
          <w:p w:rsidR="00D80232" w:rsidRPr="00E77963" w:rsidRDefault="00D80232" w:rsidP="00F0171C">
            <w:pPr>
              <w:jc w:val="center"/>
              <w:rPr>
                <w:rFonts w:ascii="Arial" w:hAnsi="Arial" w:cs="Arial"/>
              </w:rPr>
            </w:pPr>
            <w:r>
              <w:rPr>
                <w:rFonts w:ascii="Arial" w:hAnsi="Arial" w:cs="Arial"/>
              </w:rPr>
              <w:t>B</w:t>
            </w:r>
          </w:p>
        </w:tc>
      </w:tr>
      <w:tr w:rsidR="00D80232" w:rsidTr="009303ED">
        <w:trPr>
          <w:trHeight w:val="237"/>
        </w:trPr>
        <w:tc>
          <w:tcPr>
            <w:tcW w:w="3856" w:type="dxa"/>
            <w:shd w:val="clear" w:color="auto" w:fill="00FF00"/>
          </w:tcPr>
          <w:p w:rsidR="00D80232" w:rsidRPr="009C0796" w:rsidRDefault="00D80232" w:rsidP="00F0171C">
            <w:pPr>
              <w:jc w:val="center"/>
              <w:rPr>
                <w:rFonts w:ascii="Arial" w:hAnsi="Arial" w:cs="Arial"/>
              </w:rPr>
            </w:pPr>
            <w:r>
              <w:rPr>
                <w:rFonts w:ascii="Arial" w:hAnsi="Arial" w:cs="Arial"/>
              </w:rPr>
              <w:t>10</w:t>
            </w:r>
          </w:p>
        </w:tc>
        <w:tc>
          <w:tcPr>
            <w:tcW w:w="1796" w:type="dxa"/>
            <w:shd w:val="clear" w:color="auto" w:fill="00FF00"/>
          </w:tcPr>
          <w:p w:rsidR="00D80232" w:rsidRPr="009C0796" w:rsidRDefault="00D80232" w:rsidP="00F0171C">
            <w:pPr>
              <w:jc w:val="center"/>
              <w:rPr>
                <w:rFonts w:ascii="Arial" w:hAnsi="Arial" w:cs="Arial"/>
              </w:rPr>
            </w:pPr>
            <w:r>
              <w:rPr>
                <w:rFonts w:ascii="Arial" w:hAnsi="Arial" w:cs="Arial"/>
              </w:rPr>
              <w:t>8</w:t>
            </w:r>
          </w:p>
        </w:tc>
        <w:tc>
          <w:tcPr>
            <w:tcW w:w="1415" w:type="dxa"/>
            <w:shd w:val="clear" w:color="auto" w:fill="00FF00"/>
          </w:tcPr>
          <w:p w:rsidR="00D80232" w:rsidRPr="00E77963" w:rsidRDefault="00D80232" w:rsidP="00F0171C">
            <w:pPr>
              <w:jc w:val="center"/>
              <w:rPr>
                <w:rFonts w:ascii="Arial" w:hAnsi="Arial" w:cs="Arial"/>
              </w:rPr>
            </w:pPr>
            <w:r>
              <w:rPr>
                <w:rFonts w:ascii="Arial" w:hAnsi="Arial" w:cs="Arial"/>
              </w:rPr>
              <w:t>5</w:t>
            </w:r>
          </w:p>
        </w:tc>
        <w:tc>
          <w:tcPr>
            <w:tcW w:w="1937" w:type="dxa"/>
            <w:shd w:val="clear" w:color="auto" w:fill="00FF00"/>
          </w:tcPr>
          <w:p w:rsidR="00D80232" w:rsidRPr="00E77963" w:rsidRDefault="00D80232" w:rsidP="00F0171C">
            <w:pPr>
              <w:jc w:val="center"/>
              <w:rPr>
                <w:rFonts w:ascii="Arial" w:hAnsi="Arial" w:cs="Arial"/>
              </w:rPr>
            </w:pPr>
            <w:r>
              <w:rPr>
                <w:rFonts w:ascii="Arial" w:hAnsi="Arial" w:cs="Arial"/>
              </w:rPr>
              <w:t>B</w:t>
            </w:r>
          </w:p>
        </w:tc>
      </w:tr>
      <w:tr w:rsidR="00D80232" w:rsidTr="009303ED">
        <w:trPr>
          <w:trHeight w:val="252"/>
        </w:trPr>
        <w:tc>
          <w:tcPr>
            <w:tcW w:w="3856" w:type="dxa"/>
            <w:shd w:val="clear" w:color="auto" w:fill="00FF00"/>
          </w:tcPr>
          <w:p w:rsidR="00D80232" w:rsidRPr="009C0796" w:rsidRDefault="00D80232" w:rsidP="00F0171C">
            <w:pPr>
              <w:jc w:val="center"/>
              <w:rPr>
                <w:rFonts w:ascii="Arial" w:hAnsi="Arial" w:cs="Arial"/>
              </w:rPr>
            </w:pPr>
            <w:r>
              <w:rPr>
                <w:rFonts w:ascii="Arial" w:hAnsi="Arial" w:cs="Arial"/>
              </w:rPr>
              <w:t>11</w:t>
            </w:r>
          </w:p>
        </w:tc>
        <w:tc>
          <w:tcPr>
            <w:tcW w:w="1796" w:type="dxa"/>
            <w:shd w:val="clear" w:color="auto" w:fill="00FF00"/>
          </w:tcPr>
          <w:p w:rsidR="00D80232" w:rsidRPr="009C0796" w:rsidRDefault="00D80232" w:rsidP="00F0171C">
            <w:pPr>
              <w:jc w:val="center"/>
              <w:rPr>
                <w:rFonts w:ascii="Arial" w:hAnsi="Arial" w:cs="Arial"/>
              </w:rPr>
            </w:pPr>
            <w:r>
              <w:rPr>
                <w:rFonts w:ascii="Arial" w:hAnsi="Arial" w:cs="Arial"/>
              </w:rPr>
              <w:t>9</w:t>
            </w:r>
          </w:p>
        </w:tc>
        <w:tc>
          <w:tcPr>
            <w:tcW w:w="1415" w:type="dxa"/>
            <w:shd w:val="clear" w:color="auto" w:fill="00FF00"/>
          </w:tcPr>
          <w:p w:rsidR="00D80232" w:rsidRPr="00E77963" w:rsidRDefault="00D80232" w:rsidP="00F0171C">
            <w:pPr>
              <w:jc w:val="center"/>
              <w:rPr>
                <w:rFonts w:ascii="Arial" w:hAnsi="Arial" w:cs="Arial"/>
              </w:rPr>
            </w:pPr>
            <w:r>
              <w:rPr>
                <w:rFonts w:ascii="Arial" w:hAnsi="Arial" w:cs="Arial"/>
              </w:rPr>
              <w:t>6</w:t>
            </w:r>
          </w:p>
        </w:tc>
        <w:tc>
          <w:tcPr>
            <w:tcW w:w="1937" w:type="dxa"/>
            <w:shd w:val="clear" w:color="auto" w:fill="00FF00"/>
          </w:tcPr>
          <w:p w:rsidR="00D80232" w:rsidRPr="00E77963" w:rsidRDefault="00D80232" w:rsidP="00F0171C">
            <w:pPr>
              <w:jc w:val="center"/>
              <w:rPr>
                <w:rFonts w:ascii="Arial" w:hAnsi="Arial" w:cs="Arial"/>
              </w:rPr>
            </w:pPr>
            <w:r>
              <w:rPr>
                <w:rFonts w:ascii="Arial" w:hAnsi="Arial" w:cs="Arial"/>
              </w:rPr>
              <w:t>B</w:t>
            </w:r>
          </w:p>
        </w:tc>
      </w:tr>
      <w:tr w:rsidR="00D80232" w:rsidTr="009303ED">
        <w:trPr>
          <w:trHeight w:val="237"/>
        </w:trPr>
        <w:tc>
          <w:tcPr>
            <w:tcW w:w="3856" w:type="dxa"/>
            <w:shd w:val="clear" w:color="auto" w:fill="00FF00"/>
          </w:tcPr>
          <w:p w:rsidR="00D80232" w:rsidRPr="009C0796" w:rsidRDefault="00D80232" w:rsidP="00F0171C">
            <w:pPr>
              <w:jc w:val="center"/>
              <w:rPr>
                <w:rFonts w:ascii="Arial" w:hAnsi="Arial" w:cs="Arial"/>
              </w:rPr>
            </w:pPr>
            <w:r>
              <w:rPr>
                <w:rFonts w:ascii="Arial" w:hAnsi="Arial" w:cs="Arial"/>
              </w:rPr>
              <w:t>12</w:t>
            </w:r>
          </w:p>
        </w:tc>
        <w:tc>
          <w:tcPr>
            <w:tcW w:w="1796" w:type="dxa"/>
            <w:shd w:val="clear" w:color="auto" w:fill="00FF00"/>
          </w:tcPr>
          <w:p w:rsidR="00D80232" w:rsidRPr="009C0796" w:rsidRDefault="00D80232" w:rsidP="00F0171C">
            <w:pPr>
              <w:jc w:val="center"/>
              <w:rPr>
                <w:rFonts w:ascii="Arial" w:hAnsi="Arial" w:cs="Arial"/>
              </w:rPr>
            </w:pPr>
            <w:r>
              <w:rPr>
                <w:rFonts w:ascii="Arial" w:hAnsi="Arial" w:cs="Arial"/>
              </w:rPr>
              <w:t>9</w:t>
            </w:r>
          </w:p>
        </w:tc>
        <w:tc>
          <w:tcPr>
            <w:tcW w:w="1415" w:type="dxa"/>
            <w:shd w:val="clear" w:color="auto" w:fill="00FF00"/>
          </w:tcPr>
          <w:p w:rsidR="00D80232" w:rsidRDefault="00D80232" w:rsidP="00F0171C">
            <w:pPr>
              <w:jc w:val="center"/>
              <w:rPr>
                <w:rFonts w:ascii="Arial" w:hAnsi="Arial" w:cs="Arial"/>
              </w:rPr>
            </w:pPr>
            <w:r>
              <w:rPr>
                <w:rFonts w:ascii="Arial" w:hAnsi="Arial" w:cs="Arial"/>
              </w:rPr>
              <w:t>6</w:t>
            </w:r>
          </w:p>
        </w:tc>
        <w:tc>
          <w:tcPr>
            <w:tcW w:w="1937" w:type="dxa"/>
            <w:shd w:val="clear" w:color="auto" w:fill="00FF00"/>
          </w:tcPr>
          <w:p w:rsidR="00D80232" w:rsidRPr="00E77963" w:rsidRDefault="00D80232" w:rsidP="00F0171C">
            <w:pPr>
              <w:jc w:val="center"/>
              <w:rPr>
                <w:rFonts w:ascii="Arial" w:hAnsi="Arial" w:cs="Arial"/>
              </w:rPr>
            </w:pPr>
            <w:r>
              <w:rPr>
                <w:rFonts w:ascii="Arial" w:hAnsi="Arial" w:cs="Arial"/>
              </w:rPr>
              <w:t>B</w:t>
            </w:r>
          </w:p>
        </w:tc>
      </w:tr>
    </w:tbl>
    <w:p w:rsidR="00D80232" w:rsidRDefault="00D80232" w:rsidP="008F2B4D">
      <w:pPr>
        <w:pStyle w:val="NoSpacing"/>
        <w:rPr>
          <w:rFonts w:ascii="Arial" w:eastAsiaTheme="minorHAnsi" w:hAnsi="Arial" w:cs="Arial"/>
        </w:rPr>
      </w:pPr>
    </w:p>
    <w:p w:rsidR="00D80232" w:rsidRPr="008F2B4D" w:rsidRDefault="00D80232" w:rsidP="008F2B4D">
      <w:pPr>
        <w:pStyle w:val="NoSpacing"/>
        <w:rPr>
          <w:rFonts w:ascii="Arial" w:eastAsiaTheme="minorHAnsi" w:hAnsi="Arial" w:cs="Arial"/>
        </w:rPr>
      </w:pPr>
      <w:r>
        <w:rPr>
          <w:rFonts w:ascii="Arial" w:eastAsiaTheme="minorHAnsi" w:hAnsi="Arial" w:cs="Arial"/>
        </w:rPr>
        <w:t>These figures show that within current nursing levels on ward 43, 4 acute NIV patients can be adequately cared for at any one given time.</w:t>
      </w:r>
    </w:p>
    <w:p w:rsidR="003333CA" w:rsidRPr="00C7498C" w:rsidRDefault="003333CA" w:rsidP="007D2455">
      <w:pPr>
        <w:jc w:val="both"/>
        <w:rPr>
          <w:rStyle w:val="Emphasis"/>
          <w:rFonts w:ascii="Arial" w:hAnsi="Arial" w:cs="Arial"/>
          <w:sz w:val="24"/>
        </w:rPr>
      </w:pPr>
    </w:p>
    <w:p w:rsidR="00C7498C" w:rsidRPr="003333CA" w:rsidRDefault="003333CA" w:rsidP="007D2455">
      <w:pPr>
        <w:jc w:val="both"/>
        <w:rPr>
          <w:rStyle w:val="Emphasis"/>
          <w:rFonts w:ascii="Arial" w:hAnsi="Arial" w:cs="Arial"/>
          <w:b/>
          <w:sz w:val="24"/>
        </w:rPr>
      </w:pPr>
      <w:r w:rsidRPr="003333CA">
        <w:rPr>
          <w:rStyle w:val="Emphasis"/>
          <w:rFonts w:ascii="Arial" w:hAnsi="Arial" w:cs="Arial"/>
          <w:b/>
          <w:sz w:val="24"/>
        </w:rPr>
        <w:t xml:space="preserve">Proposal </w:t>
      </w:r>
    </w:p>
    <w:p w:rsidR="003333CA" w:rsidRPr="00CF5485" w:rsidRDefault="00D80232" w:rsidP="007D2455">
      <w:pPr>
        <w:jc w:val="both"/>
        <w:rPr>
          <w:rStyle w:val="Emphasis"/>
          <w:rFonts w:ascii="Arial" w:hAnsi="Arial" w:cs="Arial"/>
          <w:sz w:val="22"/>
        </w:rPr>
      </w:pPr>
      <w:r>
        <w:rPr>
          <w:rStyle w:val="Emphasis"/>
          <w:rFonts w:ascii="Arial" w:hAnsi="Arial" w:cs="Arial"/>
          <w:sz w:val="22"/>
        </w:rPr>
        <w:t>Given the above figures and the Trust’s shortcomings of medical equipment, this business case proposes the p</w:t>
      </w:r>
      <w:r w:rsidR="00BC2E97" w:rsidRPr="00CF5485">
        <w:rPr>
          <w:rStyle w:val="Emphasis"/>
          <w:rFonts w:ascii="Arial" w:hAnsi="Arial" w:cs="Arial"/>
          <w:sz w:val="22"/>
        </w:rPr>
        <w:t xml:space="preserve">urchase of </w:t>
      </w:r>
      <w:r w:rsidR="002F48D7" w:rsidRPr="00CF5485">
        <w:rPr>
          <w:rStyle w:val="Emphasis"/>
          <w:rFonts w:ascii="Arial" w:hAnsi="Arial" w:cs="Arial"/>
          <w:sz w:val="22"/>
        </w:rPr>
        <w:t xml:space="preserve">4 </w:t>
      </w:r>
      <w:r w:rsidR="00970B49">
        <w:rPr>
          <w:rStyle w:val="Emphasis"/>
          <w:rFonts w:ascii="Arial" w:hAnsi="Arial" w:cs="Arial"/>
          <w:sz w:val="22"/>
        </w:rPr>
        <w:t>portable</w:t>
      </w:r>
      <w:r w:rsidR="002F48D7" w:rsidRPr="00CF5485">
        <w:rPr>
          <w:rStyle w:val="Emphasis"/>
          <w:rFonts w:ascii="Arial" w:hAnsi="Arial" w:cs="Arial"/>
          <w:sz w:val="22"/>
        </w:rPr>
        <w:t xml:space="preserve"> NIV mon</w:t>
      </w:r>
      <w:r w:rsidR="00BC2E97" w:rsidRPr="00CF5485">
        <w:rPr>
          <w:rStyle w:val="Emphasis"/>
          <w:rFonts w:ascii="Arial" w:hAnsi="Arial" w:cs="Arial"/>
          <w:sz w:val="22"/>
        </w:rPr>
        <w:t>itors to be utilised on ward 43 for patients requiring NIV</w:t>
      </w:r>
      <w:r>
        <w:rPr>
          <w:rStyle w:val="Emphasis"/>
          <w:rFonts w:ascii="Arial" w:hAnsi="Arial" w:cs="Arial"/>
          <w:sz w:val="22"/>
        </w:rPr>
        <w:t xml:space="preserve"> which would mirror the nurse staffing levels within the current establishment</w:t>
      </w:r>
      <w:r w:rsidR="00BC2E97" w:rsidRPr="00CF5485">
        <w:rPr>
          <w:rStyle w:val="Emphasis"/>
          <w:rFonts w:ascii="Arial" w:hAnsi="Arial" w:cs="Arial"/>
          <w:sz w:val="22"/>
        </w:rPr>
        <w:t>.</w:t>
      </w:r>
    </w:p>
    <w:p w:rsidR="003333CA" w:rsidRPr="00C7498C" w:rsidRDefault="003333CA" w:rsidP="007D2455">
      <w:pPr>
        <w:jc w:val="both"/>
        <w:rPr>
          <w:rStyle w:val="Emphasis"/>
          <w:rFonts w:ascii="Arial" w:hAnsi="Arial" w:cs="Arial"/>
          <w:sz w:val="24"/>
        </w:rPr>
      </w:pPr>
    </w:p>
    <w:p w:rsidR="003333CA" w:rsidRDefault="00C7498C" w:rsidP="007D2455">
      <w:pPr>
        <w:numPr>
          <w:ilvl w:val="0"/>
          <w:numId w:val="1"/>
        </w:numPr>
        <w:tabs>
          <w:tab w:val="left" w:pos="540"/>
        </w:tabs>
        <w:ind w:hanging="1260"/>
        <w:jc w:val="both"/>
        <w:rPr>
          <w:rStyle w:val="Emphasis"/>
          <w:rFonts w:ascii="Arial" w:hAnsi="Arial" w:cs="Arial"/>
          <w:b/>
          <w:sz w:val="24"/>
        </w:rPr>
      </w:pPr>
      <w:r w:rsidRPr="00C7498C">
        <w:rPr>
          <w:rStyle w:val="Emphasis"/>
          <w:rFonts w:ascii="Arial" w:hAnsi="Arial" w:cs="Arial"/>
          <w:b/>
          <w:sz w:val="24"/>
        </w:rPr>
        <w:t>Current position</w:t>
      </w:r>
      <w:r w:rsidR="00BC2E97">
        <w:rPr>
          <w:rStyle w:val="Emphasis"/>
          <w:rFonts w:ascii="Arial" w:hAnsi="Arial" w:cs="Arial"/>
          <w:b/>
          <w:sz w:val="24"/>
        </w:rPr>
        <w:t xml:space="preserve"> and</w:t>
      </w:r>
      <w:r w:rsidR="003333CA">
        <w:rPr>
          <w:rStyle w:val="Emphasis"/>
          <w:rFonts w:ascii="Arial" w:hAnsi="Arial" w:cs="Arial"/>
          <w:b/>
          <w:sz w:val="24"/>
        </w:rPr>
        <w:t xml:space="preserve"> drivers for change</w:t>
      </w:r>
    </w:p>
    <w:p w:rsidR="00886FE5" w:rsidRDefault="00886FE5" w:rsidP="007D2455">
      <w:pPr>
        <w:tabs>
          <w:tab w:val="left" w:pos="540"/>
        </w:tabs>
        <w:jc w:val="both"/>
        <w:rPr>
          <w:rStyle w:val="Emphasis"/>
          <w:rFonts w:ascii="Arial" w:hAnsi="Arial" w:cs="Arial"/>
          <w:b/>
          <w:sz w:val="24"/>
        </w:rPr>
      </w:pPr>
    </w:p>
    <w:p w:rsidR="00886FE5" w:rsidRDefault="00886FE5" w:rsidP="007D2455">
      <w:pPr>
        <w:tabs>
          <w:tab w:val="left" w:pos="540"/>
        </w:tabs>
        <w:jc w:val="both"/>
        <w:rPr>
          <w:rStyle w:val="Emphasis"/>
          <w:rFonts w:ascii="Arial" w:hAnsi="Arial" w:cs="Arial"/>
          <w:b/>
          <w:sz w:val="24"/>
        </w:rPr>
      </w:pPr>
      <w:r>
        <w:rPr>
          <w:rStyle w:val="Emphasis"/>
          <w:rFonts w:ascii="Arial" w:hAnsi="Arial" w:cs="Arial"/>
          <w:b/>
          <w:sz w:val="24"/>
        </w:rPr>
        <w:t>Capacity and demand – current position</w:t>
      </w:r>
    </w:p>
    <w:p w:rsidR="00DB215D" w:rsidRDefault="00DB215D" w:rsidP="00B75305">
      <w:pPr>
        <w:tabs>
          <w:tab w:val="left" w:pos="540"/>
        </w:tabs>
        <w:jc w:val="both"/>
        <w:rPr>
          <w:rStyle w:val="Emphasis"/>
          <w:rFonts w:ascii="Arial" w:hAnsi="Arial" w:cs="Arial"/>
          <w:sz w:val="22"/>
        </w:rPr>
      </w:pPr>
      <w:r w:rsidRPr="00DB215D">
        <w:rPr>
          <w:rStyle w:val="Emphasis"/>
          <w:rFonts w:ascii="Arial" w:hAnsi="Arial" w:cs="Arial"/>
          <w:sz w:val="22"/>
        </w:rPr>
        <w:t xml:space="preserve">The </w:t>
      </w:r>
      <w:r>
        <w:rPr>
          <w:rStyle w:val="Emphasis"/>
          <w:rFonts w:ascii="Arial" w:hAnsi="Arial" w:cs="Arial"/>
          <w:sz w:val="22"/>
        </w:rPr>
        <w:t>below table depicts the demand figures of NIV patients on ward 43 dating from January 2016 to November 2016 (provided by ward 43 administration staff).</w:t>
      </w:r>
    </w:p>
    <w:p w:rsidR="005D182E" w:rsidRDefault="005D182E" w:rsidP="00B75305">
      <w:pPr>
        <w:tabs>
          <w:tab w:val="left" w:pos="540"/>
        </w:tabs>
        <w:jc w:val="both"/>
        <w:rPr>
          <w:rStyle w:val="Emphasis"/>
          <w:rFonts w:ascii="Arial" w:hAnsi="Arial" w:cs="Arial"/>
          <w:sz w:val="22"/>
        </w:rPr>
      </w:pPr>
    </w:p>
    <w:p w:rsidR="00DB215D" w:rsidRPr="00B75305" w:rsidRDefault="00DB215D" w:rsidP="00B75305">
      <w:pPr>
        <w:autoSpaceDE w:val="0"/>
        <w:autoSpaceDN w:val="0"/>
        <w:adjustRightInd w:val="0"/>
        <w:jc w:val="both"/>
        <w:rPr>
          <w:rStyle w:val="Emphasis"/>
          <w:rFonts w:ascii="Arial" w:eastAsiaTheme="minorHAnsi" w:hAnsi="Arial" w:cs="Arial"/>
          <w:sz w:val="22"/>
          <w:szCs w:val="46"/>
        </w:rPr>
      </w:pPr>
      <w:r>
        <w:rPr>
          <w:rStyle w:val="Emphasis"/>
          <w:rFonts w:ascii="Arial" w:hAnsi="Arial" w:cs="Arial"/>
          <w:sz w:val="22"/>
        </w:rPr>
        <w:t xml:space="preserve">Totals show that during the </w:t>
      </w:r>
      <w:r w:rsidR="00CF4FC7">
        <w:rPr>
          <w:rStyle w:val="Emphasis"/>
          <w:rFonts w:ascii="Arial" w:hAnsi="Arial" w:cs="Arial"/>
          <w:sz w:val="22"/>
        </w:rPr>
        <w:t xml:space="preserve">2016 </w:t>
      </w:r>
      <w:r>
        <w:rPr>
          <w:rStyle w:val="Emphasis"/>
          <w:rFonts w:ascii="Arial" w:hAnsi="Arial" w:cs="Arial"/>
          <w:sz w:val="22"/>
        </w:rPr>
        <w:t xml:space="preserve">calendar year thus far, 190 patients have constituted the NIV clinical cohort on ward 43. Monthly demand varies from 5 in November to 28 in February. The maximum number of NIV patients documented </w:t>
      </w:r>
      <w:r w:rsidR="009F4D18">
        <w:rPr>
          <w:rStyle w:val="Emphasis"/>
          <w:rFonts w:ascii="Arial" w:hAnsi="Arial" w:cs="Arial"/>
          <w:sz w:val="22"/>
        </w:rPr>
        <w:t xml:space="preserve">as being admitted </w:t>
      </w:r>
      <w:r>
        <w:rPr>
          <w:rStyle w:val="Emphasis"/>
          <w:rFonts w:ascii="Arial" w:hAnsi="Arial" w:cs="Arial"/>
          <w:sz w:val="22"/>
        </w:rPr>
        <w:t xml:space="preserve">on any one given day is 4 (however there may be more than </w:t>
      </w:r>
      <w:r w:rsidR="009F4D18">
        <w:rPr>
          <w:rStyle w:val="Emphasis"/>
          <w:rFonts w:ascii="Arial" w:hAnsi="Arial" w:cs="Arial"/>
          <w:sz w:val="22"/>
        </w:rPr>
        <w:t xml:space="preserve">this </w:t>
      </w:r>
      <w:r w:rsidR="00CF4FC7">
        <w:rPr>
          <w:rStyle w:val="Emphasis"/>
          <w:rFonts w:ascii="Arial" w:hAnsi="Arial" w:cs="Arial"/>
          <w:sz w:val="22"/>
        </w:rPr>
        <w:t>depending</w:t>
      </w:r>
      <w:r w:rsidR="009F4D18">
        <w:rPr>
          <w:rStyle w:val="Emphasis"/>
          <w:rFonts w:ascii="Arial" w:hAnsi="Arial" w:cs="Arial"/>
          <w:sz w:val="22"/>
        </w:rPr>
        <w:t xml:space="preserve"> upon demand in days prior to and post these admissions).</w:t>
      </w:r>
      <w:r w:rsidR="00B75305">
        <w:rPr>
          <w:rStyle w:val="Emphasis"/>
          <w:rFonts w:ascii="Arial" w:hAnsi="Arial" w:cs="Arial"/>
          <w:sz w:val="22"/>
        </w:rPr>
        <w:t xml:space="preserve"> Thus the proposal to purchase 4 flexible monitors would enable acute patients to receive the adequate continuous monitoring as stipulated by the British Thoracic Society </w:t>
      </w:r>
      <w:r w:rsidR="00B75305">
        <w:rPr>
          <w:rFonts w:ascii="Arial" w:eastAsiaTheme="minorHAnsi" w:hAnsi="Arial" w:cs="Arial"/>
          <w:sz w:val="22"/>
          <w:szCs w:val="46"/>
        </w:rPr>
        <w:t xml:space="preserve">Guidelines for the Ventilatory Management of Acute Hypercapnic Respiratory Failure </w:t>
      </w:r>
      <w:r w:rsidR="00B75305" w:rsidRPr="00B75305">
        <w:rPr>
          <w:rFonts w:ascii="Arial" w:eastAsiaTheme="minorHAnsi" w:hAnsi="Arial" w:cs="Arial"/>
          <w:sz w:val="22"/>
          <w:szCs w:val="46"/>
        </w:rPr>
        <w:t>in Adults</w:t>
      </w:r>
      <w:r w:rsidR="009F4D18" w:rsidRPr="00B75305">
        <w:rPr>
          <w:rStyle w:val="Emphasis"/>
          <w:rFonts w:ascii="Arial" w:hAnsi="Arial" w:cs="Arial"/>
          <w:sz w:val="2"/>
        </w:rPr>
        <w:t xml:space="preserve"> </w:t>
      </w:r>
      <w:r w:rsidRPr="00B75305">
        <w:rPr>
          <w:rStyle w:val="Emphasis"/>
          <w:rFonts w:ascii="Arial" w:hAnsi="Arial" w:cs="Arial"/>
          <w:sz w:val="2"/>
        </w:rPr>
        <w:t xml:space="preserve">  </w:t>
      </w:r>
    </w:p>
    <w:p w:rsidR="003B4B74" w:rsidRPr="00DB215D" w:rsidRDefault="00DB215D" w:rsidP="00B75305">
      <w:pPr>
        <w:tabs>
          <w:tab w:val="left" w:pos="540"/>
        </w:tabs>
        <w:jc w:val="both"/>
        <w:rPr>
          <w:rStyle w:val="Emphasis"/>
          <w:rFonts w:ascii="Arial" w:hAnsi="Arial" w:cs="Arial"/>
          <w:sz w:val="22"/>
        </w:rPr>
      </w:pPr>
      <w:r>
        <w:rPr>
          <w:rStyle w:val="Emphasis"/>
          <w:rFonts w:ascii="Arial" w:hAnsi="Arial" w:cs="Arial"/>
          <w:sz w:val="22"/>
        </w:rPr>
        <w:t xml:space="preserve"> </w:t>
      </w:r>
    </w:p>
    <w:p w:rsidR="003B4B74" w:rsidRDefault="009303ED" w:rsidP="003B4B74">
      <w:pPr>
        <w:tabs>
          <w:tab w:val="left" w:pos="540"/>
        </w:tabs>
        <w:jc w:val="center"/>
        <w:rPr>
          <w:rStyle w:val="Emphasis"/>
          <w:rFonts w:ascii="Arial" w:hAnsi="Arial" w:cs="Arial"/>
          <w:b/>
          <w:color w:val="FF0000"/>
          <w:sz w:val="24"/>
        </w:rPr>
      </w:pPr>
      <w:r w:rsidRPr="00DB215D">
        <w:rPr>
          <w:noProof/>
          <w:lang w:eastAsia="en-GB"/>
        </w:rPr>
        <w:drawing>
          <wp:anchor distT="0" distB="0" distL="114300" distR="114300" simplePos="0" relativeHeight="251658240" behindDoc="0" locked="0" layoutInCell="1" allowOverlap="1" wp14:anchorId="6937C11A" wp14:editId="1AF7E80D">
            <wp:simplePos x="0" y="0"/>
            <wp:positionH relativeFrom="column">
              <wp:posOffset>1288415</wp:posOffset>
            </wp:positionH>
            <wp:positionV relativeFrom="paragraph">
              <wp:posOffset>116205</wp:posOffset>
            </wp:positionV>
            <wp:extent cx="3848735" cy="246824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8735" cy="2468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4B74" w:rsidRDefault="003B4B74" w:rsidP="0063208A">
      <w:pPr>
        <w:tabs>
          <w:tab w:val="left" w:pos="540"/>
        </w:tabs>
        <w:jc w:val="both"/>
        <w:rPr>
          <w:rStyle w:val="Emphasis"/>
          <w:rFonts w:ascii="Arial" w:hAnsi="Arial" w:cs="Arial"/>
          <w:b/>
          <w:color w:val="FF0000"/>
          <w:sz w:val="24"/>
        </w:rPr>
      </w:pPr>
    </w:p>
    <w:p w:rsidR="00DB215D" w:rsidRDefault="00DB215D" w:rsidP="0063208A">
      <w:pPr>
        <w:tabs>
          <w:tab w:val="left" w:pos="540"/>
        </w:tabs>
        <w:jc w:val="both"/>
        <w:rPr>
          <w:rStyle w:val="Emphasis"/>
          <w:rFonts w:ascii="Arial" w:hAnsi="Arial" w:cs="Arial"/>
          <w:b/>
          <w:color w:val="FF0000"/>
          <w:sz w:val="24"/>
        </w:rPr>
      </w:pPr>
    </w:p>
    <w:p w:rsidR="00DB215D" w:rsidRDefault="00DB215D" w:rsidP="0063208A">
      <w:pPr>
        <w:tabs>
          <w:tab w:val="left" w:pos="540"/>
        </w:tabs>
        <w:jc w:val="both"/>
        <w:rPr>
          <w:rStyle w:val="Emphasis"/>
          <w:rFonts w:ascii="Arial" w:hAnsi="Arial" w:cs="Arial"/>
          <w:b/>
          <w:color w:val="FF0000"/>
          <w:sz w:val="24"/>
        </w:rPr>
      </w:pPr>
    </w:p>
    <w:p w:rsidR="00DB215D" w:rsidRDefault="00DB215D" w:rsidP="0063208A">
      <w:pPr>
        <w:tabs>
          <w:tab w:val="left" w:pos="540"/>
        </w:tabs>
        <w:jc w:val="both"/>
        <w:rPr>
          <w:rStyle w:val="Emphasis"/>
          <w:rFonts w:ascii="Arial" w:hAnsi="Arial" w:cs="Arial"/>
          <w:b/>
          <w:color w:val="FF0000"/>
          <w:sz w:val="24"/>
        </w:rPr>
      </w:pPr>
    </w:p>
    <w:p w:rsidR="00DB215D" w:rsidRDefault="00DB215D" w:rsidP="0063208A">
      <w:pPr>
        <w:tabs>
          <w:tab w:val="left" w:pos="540"/>
        </w:tabs>
        <w:jc w:val="both"/>
        <w:rPr>
          <w:rStyle w:val="Emphasis"/>
          <w:rFonts w:ascii="Arial" w:hAnsi="Arial" w:cs="Arial"/>
          <w:b/>
          <w:color w:val="FF0000"/>
          <w:sz w:val="24"/>
        </w:rPr>
      </w:pPr>
    </w:p>
    <w:p w:rsidR="00DB215D" w:rsidRDefault="00DB215D" w:rsidP="0063208A">
      <w:pPr>
        <w:tabs>
          <w:tab w:val="left" w:pos="540"/>
        </w:tabs>
        <w:jc w:val="both"/>
        <w:rPr>
          <w:rStyle w:val="Emphasis"/>
          <w:rFonts w:ascii="Arial" w:hAnsi="Arial" w:cs="Arial"/>
          <w:b/>
          <w:color w:val="FF0000"/>
          <w:sz w:val="24"/>
        </w:rPr>
      </w:pPr>
    </w:p>
    <w:p w:rsidR="00DB215D" w:rsidRDefault="00DB215D" w:rsidP="0063208A">
      <w:pPr>
        <w:tabs>
          <w:tab w:val="left" w:pos="540"/>
        </w:tabs>
        <w:jc w:val="both"/>
        <w:rPr>
          <w:rStyle w:val="Emphasis"/>
          <w:rFonts w:ascii="Arial" w:hAnsi="Arial" w:cs="Arial"/>
          <w:b/>
          <w:color w:val="FF0000"/>
          <w:sz w:val="24"/>
        </w:rPr>
      </w:pPr>
    </w:p>
    <w:p w:rsidR="00DB215D" w:rsidRDefault="00DB215D" w:rsidP="0063208A">
      <w:pPr>
        <w:tabs>
          <w:tab w:val="left" w:pos="540"/>
        </w:tabs>
        <w:jc w:val="both"/>
        <w:rPr>
          <w:rStyle w:val="Emphasis"/>
          <w:rFonts w:ascii="Arial" w:hAnsi="Arial" w:cs="Arial"/>
          <w:b/>
          <w:color w:val="FF0000"/>
          <w:sz w:val="24"/>
        </w:rPr>
      </w:pPr>
    </w:p>
    <w:p w:rsidR="00DB215D" w:rsidRDefault="00DB215D" w:rsidP="0063208A">
      <w:pPr>
        <w:tabs>
          <w:tab w:val="left" w:pos="540"/>
        </w:tabs>
        <w:jc w:val="both"/>
        <w:rPr>
          <w:rStyle w:val="Emphasis"/>
          <w:rFonts w:ascii="Arial" w:hAnsi="Arial" w:cs="Arial"/>
          <w:b/>
          <w:color w:val="FF0000"/>
          <w:sz w:val="24"/>
        </w:rPr>
      </w:pPr>
    </w:p>
    <w:p w:rsidR="00DB215D" w:rsidRDefault="00DB215D" w:rsidP="0063208A">
      <w:pPr>
        <w:tabs>
          <w:tab w:val="left" w:pos="540"/>
        </w:tabs>
        <w:jc w:val="both"/>
        <w:rPr>
          <w:rStyle w:val="Emphasis"/>
          <w:rFonts w:ascii="Arial" w:hAnsi="Arial" w:cs="Arial"/>
          <w:b/>
          <w:color w:val="FF0000"/>
          <w:sz w:val="24"/>
        </w:rPr>
      </w:pPr>
    </w:p>
    <w:p w:rsidR="00DB215D" w:rsidRDefault="00DB215D" w:rsidP="0063208A">
      <w:pPr>
        <w:tabs>
          <w:tab w:val="left" w:pos="540"/>
        </w:tabs>
        <w:jc w:val="both"/>
        <w:rPr>
          <w:rStyle w:val="Emphasis"/>
          <w:rFonts w:ascii="Arial" w:hAnsi="Arial" w:cs="Arial"/>
          <w:b/>
          <w:color w:val="FF0000"/>
          <w:sz w:val="24"/>
        </w:rPr>
      </w:pPr>
    </w:p>
    <w:p w:rsidR="00DB215D" w:rsidRDefault="00DB215D" w:rsidP="0063208A">
      <w:pPr>
        <w:tabs>
          <w:tab w:val="left" w:pos="540"/>
        </w:tabs>
        <w:jc w:val="both"/>
        <w:rPr>
          <w:rStyle w:val="Emphasis"/>
          <w:rFonts w:ascii="Arial" w:hAnsi="Arial" w:cs="Arial"/>
          <w:b/>
          <w:color w:val="FF0000"/>
          <w:sz w:val="24"/>
        </w:rPr>
      </w:pPr>
    </w:p>
    <w:p w:rsidR="00DB215D" w:rsidRDefault="00DB215D" w:rsidP="0063208A">
      <w:pPr>
        <w:tabs>
          <w:tab w:val="left" w:pos="540"/>
        </w:tabs>
        <w:jc w:val="both"/>
        <w:rPr>
          <w:rStyle w:val="Emphasis"/>
          <w:rFonts w:ascii="Arial" w:hAnsi="Arial" w:cs="Arial"/>
          <w:b/>
          <w:color w:val="FF0000"/>
          <w:sz w:val="24"/>
        </w:rPr>
      </w:pPr>
    </w:p>
    <w:p w:rsidR="00886FE5" w:rsidRPr="00B75305" w:rsidRDefault="00886FE5" w:rsidP="007D2455">
      <w:pPr>
        <w:tabs>
          <w:tab w:val="left" w:pos="540"/>
        </w:tabs>
        <w:jc w:val="both"/>
        <w:rPr>
          <w:rStyle w:val="Emphasis"/>
          <w:rFonts w:ascii="Arial" w:hAnsi="Arial" w:cs="Arial"/>
          <w:sz w:val="22"/>
        </w:rPr>
      </w:pPr>
      <w:r>
        <w:rPr>
          <w:rStyle w:val="Emphasis"/>
          <w:rFonts w:ascii="Arial" w:hAnsi="Arial" w:cs="Arial"/>
          <w:b/>
          <w:sz w:val="24"/>
        </w:rPr>
        <w:t>Drivers for change</w:t>
      </w:r>
      <w:r w:rsidR="00B75305">
        <w:rPr>
          <w:rStyle w:val="Emphasis"/>
          <w:rFonts w:ascii="Arial" w:hAnsi="Arial" w:cs="Arial"/>
          <w:b/>
          <w:sz w:val="24"/>
        </w:rPr>
        <w:t xml:space="preserve"> – </w:t>
      </w:r>
      <w:r w:rsidR="00B75305">
        <w:rPr>
          <w:rStyle w:val="Emphasis"/>
          <w:rFonts w:ascii="Arial" w:hAnsi="Arial" w:cs="Arial"/>
          <w:sz w:val="22"/>
        </w:rPr>
        <w:t xml:space="preserve">the below outlines the key areas which highlight the importance of installing the 4 monitors on Ward 43. </w:t>
      </w:r>
    </w:p>
    <w:p w:rsidR="00C7498C" w:rsidRPr="00CF5485" w:rsidRDefault="003333CA" w:rsidP="007D2455">
      <w:pPr>
        <w:pStyle w:val="ListParagraph"/>
        <w:numPr>
          <w:ilvl w:val="0"/>
          <w:numId w:val="4"/>
        </w:numPr>
        <w:jc w:val="both"/>
        <w:rPr>
          <w:rStyle w:val="Emphasis"/>
          <w:rFonts w:ascii="Arial" w:hAnsi="Arial" w:cs="Arial"/>
          <w:sz w:val="22"/>
        </w:rPr>
      </w:pPr>
      <w:r w:rsidRPr="00CF5485">
        <w:rPr>
          <w:rStyle w:val="Emphasis"/>
          <w:rFonts w:ascii="Arial" w:hAnsi="Arial" w:cs="Arial"/>
          <w:sz w:val="22"/>
        </w:rPr>
        <w:t>DSSA – Delivering Single Sex Accommodation policy</w:t>
      </w:r>
      <w:r w:rsidR="00797B75" w:rsidRPr="00CF5485">
        <w:rPr>
          <w:rStyle w:val="Emphasis"/>
          <w:rFonts w:ascii="Arial" w:hAnsi="Arial" w:cs="Arial"/>
          <w:sz w:val="22"/>
        </w:rPr>
        <w:t>.</w:t>
      </w:r>
    </w:p>
    <w:p w:rsidR="008F2B4D" w:rsidRDefault="003333CA" w:rsidP="008F2B4D">
      <w:pPr>
        <w:pStyle w:val="ListParagraph"/>
        <w:numPr>
          <w:ilvl w:val="0"/>
          <w:numId w:val="4"/>
        </w:numPr>
        <w:jc w:val="both"/>
        <w:rPr>
          <w:rStyle w:val="Emphasis"/>
          <w:rFonts w:ascii="Arial" w:hAnsi="Arial" w:cs="Arial"/>
          <w:sz w:val="22"/>
        </w:rPr>
      </w:pPr>
      <w:r w:rsidRPr="00CF5485">
        <w:rPr>
          <w:rStyle w:val="Emphasis"/>
          <w:rFonts w:ascii="Arial" w:hAnsi="Arial" w:cs="Arial"/>
          <w:sz w:val="22"/>
        </w:rPr>
        <w:t>NIV level 2 tariff and appropriate provisions</w:t>
      </w:r>
      <w:r w:rsidR="00B75305">
        <w:rPr>
          <w:rStyle w:val="Emphasis"/>
          <w:rFonts w:ascii="Arial" w:hAnsi="Arial" w:cs="Arial"/>
          <w:sz w:val="22"/>
        </w:rPr>
        <w:t xml:space="preserve"> compliance, satisfying national guidelines and CCG scrutiny.</w:t>
      </w:r>
    </w:p>
    <w:p w:rsidR="008F2B4D" w:rsidRPr="008F2B4D" w:rsidRDefault="008F2B4D" w:rsidP="008F2B4D">
      <w:pPr>
        <w:pStyle w:val="ListParagraph"/>
        <w:numPr>
          <w:ilvl w:val="0"/>
          <w:numId w:val="4"/>
        </w:numPr>
        <w:jc w:val="both"/>
        <w:rPr>
          <w:rStyle w:val="Emphasis"/>
          <w:rFonts w:ascii="Arial" w:hAnsi="Arial" w:cs="Arial"/>
          <w:sz w:val="22"/>
          <w:szCs w:val="22"/>
        </w:rPr>
      </w:pPr>
      <w:r w:rsidRPr="008F2B4D">
        <w:rPr>
          <w:rFonts w:ascii="Arial" w:eastAsiaTheme="minorHAnsi" w:hAnsi="Arial" w:cs="Arial"/>
          <w:sz w:val="22"/>
          <w:szCs w:val="22"/>
        </w:rPr>
        <w:t>BTS Monitoring during NIV (page ii10) – “Continuous monitoring of oxygen saturation is essential.”</w:t>
      </w:r>
    </w:p>
    <w:p w:rsidR="00332D4C" w:rsidRPr="00CF5485" w:rsidRDefault="00332D4C" w:rsidP="00332D4C">
      <w:pPr>
        <w:pStyle w:val="ListParagraph"/>
        <w:ind w:left="360"/>
        <w:jc w:val="both"/>
        <w:rPr>
          <w:rStyle w:val="Emphasis"/>
          <w:rFonts w:ascii="Arial" w:hAnsi="Arial" w:cs="Arial"/>
          <w:sz w:val="22"/>
        </w:rPr>
      </w:pPr>
    </w:p>
    <w:p w:rsidR="003333CA" w:rsidRPr="00B75305" w:rsidRDefault="00E22999" w:rsidP="00E22999">
      <w:pPr>
        <w:jc w:val="both"/>
        <w:rPr>
          <w:rStyle w:val="Emphasis"/>
          <w:rFonts w:ascii="Arial" w:hAnsi="Arial" w:cs="Arial"/>
          <w:sz w:val="22"/>
        </w:rPr>
      </w:pPr>
      <w:r w:rsidRPr="00E22999">
        <w:rPr>
          <w:rStyle w:val="Emphasis"/>
          <w:rFonts w:ascii="Arial" w:hAnsi="Arial" w:cs="Arial"/>
          <w:b/>
          <w:sz w:val="24"/>
        </w:rPr>
        <w:t xml:space="preserve">Trust </w:t>
      </w:r>
      <w:r>
        <w:rPr>
          <w:rStyle w:val="Emphasis"/>
          <w:rFonts w:ascii="Arial" w:hAnsi="Arial" w:cs="Arial"/>
          <w:b/>
          <w:sz w:val="24"/>
        </w:rPr>
        <w:t xml:space="preserve">objective </w:t>
      </w:r>
      <w:r w:rsidRPr="00E22999">
        <w:rPr>
          <w:rStyle w:val="Emphasis"/>
          <w:rFonts w:ascii="Arial" w:hAnsi="Arial" w:cs="Arial"/>
          <w:b/>
          <w:sz w:val="24"/>
        </w:rPr>
        <w:t>drivers</w:t>
      </w:r>
      <w:r w:rsidR="00B75305">
        <w:rPr>
          <w:rStyle w:val="Emphasis"/>
          <w:rFonts w:ascii="Arial" w:hAnsi="Arial" w:cs="Arial"/>
          <w:b/>
          <w:sz w:val="24"/>
        </w:rPr>
        <w:t xml:space="preserve"> – </w:t>
      </w:r>
      <w:r w:rsidR="00B75305">
        <w:rPr>
          <w:rStyle w:val="Emphasis"/>
          <w:rFonts w:ascii="Arial" w:hAnsi="Arial" w:cs="Arial"/>
          <w:sz w:val="22"/>
        </w:rPr>
        <w:t>the proposal more broadly incorporates the below Trust objectives.</w:t>
      </w:r>
    </w:p>
    <w:p w:rsidR="00CF5485" w:rsidRPr="00CF5485" w:rsidRDefault="00CF5485" w:rsidP="00E22999">
      <w:pPr>
        <w:pStyle w:val="ListParagraph"/>
        <w:numPr>
          <w:ilvl w:val="0"/>
          <w:numId w:val="8"/>
        </w:numPr>
        <w:jc w:val="both"/>
        <w:rPr>
          <w:rStyle w:val="Emphasis"/>
          <w:rFonts w:ascii="Arial" w:hAnsi="Arial" w:cs="Arial"/>
          <w:sz w:val="22"/>
        </w:rPr>
      </w:pPr>
      <w:r w:rsidRPr="00CF5485">
        <w:rPr>
          <w:rStyle w:val="Emphasis"/>
          <w:rFonts w:ascii="Arial" w:hAnsi="Arial" w:cs="Arial"/>
          <w:sz w:val="22"/>
        </w:rPr>
        <w:t>Ensure the highest standards of safe care are consistently delivered by, and for, individuals, teams and departments.</w:t>
      </w:r>
    </w:p>
    <w:p w:rsidR="00CF5485" w:rsidRDefault="00CF5485" w:rsidP="00E22999">
      <w:pPr>
        <w:pStyle w:val="ListParagraph"/>
        <w:numPr>
          <w:ilvl w:val="0"/>
          <w:numId w:val="8"/>
        </w:numPr>
        <w:jc w:val="both"/>
        <w:rPr>
          <w:rStyle w:val="Emphasis"/>
          <w:rFonts w:ascii="Arial" w:hAnsi="Arial" w:cs="Arial"/>
          <w:sz w:val="22"/>
        </w:rPr>
      </w:pPr>
      <w:r w:rsidRPr="00CF5485">
        <w:rPr>
          <w:rStyle w:val="Emphasis"/>
          <w:rFonts w:ascii="Arial" w:hAnsi="Arial" w:cs="Arial"/>
          <w:sz w:val="22"/>
        </w:rPr>
        <w:t>Ensure that patients</w:t>
      </w:r>
      <w:r>
        <w:rPr>
          <w:rStyle w:val="Emphasis"/>
          <w:rFonts w:ascii="Arial" w:hAnsi="Arial" w:cs="Arial"/>
          <w:sz w:val="22"/>
        </w:rPr>
        <w:t xml:space="preserve"> experience the very best care, building on good practice, and listening and learning from both negative and positive feedback and events.</w:t>
      </w:r>
    </w:p>
    <w:p w:rsidR="00E22999" w:rsidRPr="00CF5485" w:rsidRDefault="00CF5485" w:rsidP="00E22999">
      <w:pPr>
        <w:pStyle w:val="ListParagraph"/>
        <w:numPr>
          <w:ilvl w:val="0"/>
          <w:numId w:val="8"/>
        </w:numPr>
        <w:jc w:val="both"/>
        <w:rPr>
          <w:rStyle w:val="Emphasis"/>
          <w:rFonts w:ascii="Arial" w:hAnsi="Arial" w:cs="Arial"/>
          <w:sz w:val="22"/>
        </w:rPr>
      </w:pPr>
      <w:r>
        <w:rPr>
          <w:rStyle w:val="Emphasis"/>
          <w:rFonts w:ascii="Arial" w:hAnsi="Arial" w:cs="Arial"/>
          <w:sz w:val="22"/>
        </w:rPr>
        <w:t xml:space="preserve">Provide timely access to diagnosis, treatment and care when people need it and </w:t>
      </w:r>
      <w:r w:rsidR="00C34759">
        <w:rPr>
          <w:rStyle w:val="Emphasis"/>
          <w:rFonts w:ascii="Arial" w:hAnsi="Arial" w:cs="Arial"/>
          <w:sz w:val="22"/>
        </w:rPr>
        <w:t>safely</w:t>
      </w:r>
      <w:r>
        <w:rPr>
          <w:rStyle w:val="Emphasis"/>
          <w:rFonts w:ascii="Arial" w:hAnsi="Arial" w:cs="Arial"/>
          <w:sz w:val="22"/>
        </w:rPr>
        <w:t xml:space="preserve"> reduce the time patients spend in hospital. </w:t>
      </w:r>
      <w:r w:rsidRPr="00CF5485">
        <w:rPr>
          <w:rStyle w:val="Emphasis"/>
          <w:rFonts w:ascii="Arial" w:hAnsi="Arial" w:cs="Arial"/>
          <w:sz w:val="22"/>
        </w:rPr>
        <w:t xml:space="preserve">  </w:t>
      </w:r>
    </w:p>
    <w:p w:rsidR="00C7498C" w:rsidRPr="00C7498C" w:rsidRDefault="00C7498C" w:rsidP="007D2455">
      <w:pPr>
        <w:jc w:val="both"/>
        <w:rPr>
          <w:rStyle w:val="Emphasis"/>
          <w:rFonts w:ascii="Arial" w:hAnsi="Arial" w:cs="Arial"/>
          <w:sz w:val="24"/>
        </w:rPr>
      </w:pPr>
    </w:p>
    <w:p w:rsidR="00C7498C" w:rsidRPr="00C7498C" w:rsidRDefault="00C7498C" w:rsidP="007D2455">
      <w:pPr>
        <w:jc w:val="both"/>
        <w:rPr>
          <w:rStyle w:val="Emphasis"/>
          <w:rFonts w:ascii="Arial" w:hAnsi="Arial" w:cs="Arial"/>
          <w:sz w:val="24"/>
        </w:rPr>
      </w:pPr>
    </w:p>
    <w:p w:rsidR="00C7498C" w:rsidRPr="00C7498C" w:rsidRDefault="00C7498C" w:rsidP="007D2455">
      <w:pPr>
        <w:numPr>
          <w:ilvl w:val="0"/>
          <w:numId w:val="1"/>
        </w:numPr>
        <w:tabs>
          <w:tab w:val="left" w:pos="540"/>
        </w:tabs>
        <w:ind w:hanging="1260"/>
        <w:jc w:val="both"/>
        <w:rPr>
          <w:rStyle w:val="Emphasis"/>
          <w:rFonts w:ascii="Arial" w:hAnsi="Arial" w:cs="Arial"/>
          <w:b/>
          <w:sz w:val="24"/>
        </w:rPr>
      </w:pPr>
      <w:r w:rsidRPr="00C7498C">
        <w:rPr>
          <w:rStyle w:val="Emphasis"/>
          <w:rFonts w:ascii="Arial" w:hAnsi="Arial" w:cs="Arial"/>
          <w:b/>
          <w:sz w:val="24"/>
        </w:rPr>
        <w:t xml:space="preserve">Financial / CIP </w:t>
      </w:r>
    </w:p>
    <w:p w:rsidR="00C7498C" w:rsidRPr="003333CA" w:rsidRDefault="005D182E" w:rsidP="007D2455">
      <w:pPr>
        <w:tabs>
          <w:tab w:val="left" w:pos="540"/>
        </w:tabs>
        <w:jc w:val="both"/>
        <w:rPr>
          <w:rStyle w:val="Emphasis"/>
          <w:rFonts w:ascii="Arial" w:hAnsi="Arial" w:cs="Arial"/>
          <w:b/>
          <w:color w:val="FF0000"/>
          <w:sz w:val="24"/>
        </w:rPr>
      </w:pPr>
      <w:r>
        <w:rPr>
          <w:rStyle w:val="Emphasis"/>
          <w:rFonts w:ascii="Arial" w:hAnsi="Arial" w:cs="Arial"/>
          <w:b/>
          <w:color w:val="FF0000"/>
          <w:sz w:val="24"/>
        </w:rPr>
        <w:t>Not supplied</w:t>
      </w:r>
    </w:p>
    <w:p w:rsidR="00C7498C" w:rsidRPr="00C7498C" w:rsidRDefault="00C7498C" w:rsidP="007D2455">
      <w:pPr>
        <w:jc w:val="both"/>
        <w:rPr>
          <w:rStyle w:val="Emphasis"/>
          <w:rFonts w:ascii="Arial" w:hAnsi="Arial" w:cs="Arial"/>
          <w:sz w:val="24"/>
        </w:rPr>
      </w:pPr>
    </w:p>
    <w:p w:rsidR="00C7498C" w:rsidRPr="00C7498C" w:rsidRDefault="00C7498C" w:rsidP="007D2455">
      <w:pPr>
        <w:jc w:val="both"/>
        <w:rPr>
          <w:rStyle w:val="Emphasis"/>
          <w:rFonts w:ascii="Arial" w:hAnsi="Arial" w:cs="Arial"/>
          <w:sz w:val="24"/>
        </w:rPr>
      </w:pPr>
    </w:p>
    <w:p w:rsidR="00C7498C" w:rsidRPr="005D378E" w:rsidRDefault="00C7498C" w:rsidP="007D2455">
      <w:pPr>
        <w:numPr>
          <w:ilvl w:val="0"/>
          <w:numId w:val="1"/>
        </w:numPr>
        <w:tabs>
          <w:tab w:val="left" w:pos="540"/>
        </w:tabs>
        <w:ind w:hanging="1260"/>
        <w:jc w:val="both"/>
        <w:rPr>
          <w:rStyle w:val="Emphasis"/>
          <w:rFonts w:ascii="Arial" w:hAnsi="Arial" w:cs="Arial"/>
          <w:sz w:val="24"/>
        </w:rPr>
      </w:pPr>
      <w:r w:rsidRPr="00C7498C">
        <w:rPr>
          <w:rStyle w:val="Emphasis"/>
          <w:rFonts w:ascii="Arial" w:hAnsi="Arial" w:cs="Arial"/>
          <w:b/>
          <w:sz w:val="24"/>
        </w:rPr>
        <w:t>Risks</w:t>
      </w:r>
    </w:p>
    <w:p w:rsidR="005D378E" w:rsidRPr="00C7498C" w:rsidRDefault="005D378E" w:rsidP="007D2455">
      <w:pPr>
        <w:tabs>
          <w:tab w:val="left" w:pos="540"/>
        </w:tabs>
        <w:jc w:val="both"/>
        <w:rPr>
          <w:rStyle w:val="Emphasis"/>
          <w:rFonts w:ascii="Arial" w:hAnsi="Arial" w:cs="Arial"/>
          <w:sz w:val="24"/>
        </w:rPr>
      </w:pPr>
      <w:r>
        <w:rPr>
          <w:rStyle w:val="Emphasis"/>
          <w:rFonts w:ascii="Arial" w:hAnsi="Arial" w:cs="Arial"/>
          <w:b/>
          <w:sz w:val="24"/>
        </w:rPr>
        <w:t>Lack of NIV monitoring equipment risks:</w:t>
      </w:r>
    </w:p>
    <w:p w:rsidR="003333CA" w:rsidRPr="009303ED" w:rsidRDefault="003333CA" w:rsidP="009303ED">
      <w:pPr>
        <w:pStyle w:val="ListParagraph"/>
        <w:numPr>
          <w:ilvl w:val="0"/>
          <w:numId w:val="9"/>
        </w:numPr>
        <w:autoSpaceDE w:val="0"/>
        <w:autoSpaceDN w:val="0"/>
        <w:adjustRightInd w:val="0"/>
        <w:rPr>
          <w:rStyle w:val="Emphasis"/>
          <w:rFonts w:ascii="Arial" w:eastAsiaTheme="minorHAnsi" w:hAnsi="Arial" w:cs="Arial"/>
          <w:sz w:val="22"/>
          <w:szCs w:val="46"/>
        </w:rPr>
      </w:pPr>
      <w:r w:rsidRPr="009303ED">
        <w:rPr>
          <w:rStyle w:val="Emphasis"/>
          <w:rFonts w:ascii="Arial" w:hAnsi="Arial" w:cs="Arial"/>
          <w:sz w:val="24"/>
        </w:rPr>
        <w:t xml:space="preserve">Failure to provide </w:t>
      </w:r>
      <w:r w:rsidR="00A95B5F" w:rsidRPr="009303ED">
        <w:rPr>
          <w:rStyle w:val="Emphasis"/>
          <w:rFonts w:ascii="Arial" w:hAnsi="Arial" w:cs="Arial"/>
          <w:sz w:val="24"/>
        </w:rPr>
        <w:t>appropriate standard</w:t>
      </w:r>
      <w:r w:rsidRPr="009303ED">
        <w:rPr>
          <w:rStyle w:val="Emphasis"/>
          <w:rFonts w:ascii="Arial" w:hAnsi="Arial" w:cs="Arial"/>
          <w:sz w:val="24"/>
        </w:rPr>
        <w:t xml:space="preserve"> of care for NIV patients acco</w:t>
      </w:r>
      <w:r w:rsidR="00A95B5F" w:rsidRPr="009303ED">
        <w:rPr>
          <w:rStyle w:val="Emphasis"/>
          <w:rFonts w:ascii="Arial" w:hAnsi="Arial" w:cs="Arial"/>
          <w:sz w:val="24"/>
        </w:rPr>
        <w:t xml:space="preserve">rding to the </w:t>
      </w:r>
      <w:r w:rsidR="00A95B5F" w:rsidRPr="009303ED">
        <w:rPr>
          <w:rFonts w:ascii="Arial" w:eastAsiaTheme="minorHAnsi" w:hAnsi="Arial" w:cs="Arial"/>
          <w:sz w:val="22"/>
          <w:szCs w:val="46"/>
        </w:rPr>
        <w:t>BTS/ICS Guidelines for the Ventilatory Management of Acute Hypercapnic Respiratory Failure in Adults.</w:t>
      </w:r>
    </w:p>
    <w:p w:rsidR="00C7498C" w:rsidRPr="00A95B5F" w:rsidRDefault="003333CA" w:rsidP="00A95B5F">
      <w:pPr>
        <w:pStyle w:val="ListParagraph"/>
        <w:numPr>
          <w:ilvl w:val="0"/>
          <w:numId w:val="6"/>
        </w:numPr>
        <w:jc w:val="both"/>
        <w:rPr>
          <w:rStyle w:val="Emphasis"/>
          <w:rFonts w:ascii="Arial" w:hAnsi="Arial" w:cs="Arial"/>
          <w:sz w:val="24"/>
        </w:rPr>
      </w:pPr>
      <w:r>
        <w:rPr>
          <w:rStyle w:val="Emphasis"/>
          <w:rFonts w:ascii="Arial" w:hAnsi="Arial" w:cs="Arial"/>
          <w:sz w:val="24"/>
        </w:rPr>
        <w:t>External CCG scrutiny risk</w:t>
      </w:r>
      <w:r w:rsidR="00A95B5F">
        <w:rPr>
          <w:rStyle w:val="Emphasis"/>
          <w:rFonts w:ascii="Arial" w:hAnsi="Arial" w:cs="Arial"/>
          <w:sz w:val="24"/>
        </w:rPr>
        <w:t xml:space="preserve"> regarding tariff claims</w:t>
      </w:r>
      <w:r>
        <w:rPr>
          <w:rStyle w:val="Emphasis"/>
          <w:rFonts w:ascii="Arial" w:hAnsi="Arial" w:cs="Arial"/>
          <w:sz w:val="24"/>
        </w:rPr>
        <w:t>, and</w:t>
      </w:r>
      <w:r w:rsidR="00A95B5F">
        <w:rPr>
          <w:rStyle w:val="Emphasis"/>
          <w:rFonts w:ascii="Arial" w:hAnsi="Arial" w:cs="Arial"/>
          <w:sz w:val="24"/>
        </w:rPr>
        <w:t xml:space="preserve"> the f</w:t>
      </w:r>
      <w:r w:rsidRPr="00A95B5F">
        <w:rPr>
          <w:rStyle w:val="Emphasis"/>
          <w:rFonts w:ascii="Arial" w:hAnsi="Arial" w:cs="Arial"/>
          <w:sz w:val="24"/>
        </w:rPr>
        <w:t>inancial implications</w:t>
      </w:r>
      <w:r w:rsidR="00A95B5F">
        <w:rPr>
          <w:rStyle w:val="Emphasis"/>
          <w:rFonts w:ascii="Arial" w:hAnsi="Arial" w:cs="Arial"/>
          <w:sz w:val="24"/>
        </w:rPr>
        <w:t xml:space="preserve"> of this</w:t>
      </w:r>
      <w:r w:rsidRPr="00A95B5F">
        <w:rPr>
          <w:rStyle w:val="Emphasis"/>
          <w:rFonts w:ascii="Arial" w:hAnsi="Arial" w:cs="Arial"/>
          <w:sz w:val="24"/>
        </w:rPr>
        <w:t>.</w:t>
      </w:r>
    </w:p>
    <w:p w:rsidR="003333CA" w:rsidRDefault="003333CA" w:rsidP="007D2455">
      <w:pPr>
        <w:pStyle w:val="ListParagraph"/>
        <w:numPr>
          <w:ilvl w:val="0"/>
          <w:numId w:val="6"/>
        </w:numPr>
        <w:jc w:val="both"/>
        <w:rPr>
          <w:rStyle w:val="Emphasis"/>
          <w:rFonts w:ascii="Arial" w:hAnsi="Arial" w:cs="Arial"/>
          <w:sz w:val="24"/>
        </w:rPr>
      </w:pPr>
      <w:r>
        <w:rPr>
          <w:rStyle w:val="Emphasis"/>
          <w:rFonts w:ascii="Arial" w:hAnsi="Arial" w:cs="Arial"/>
          <w:sz w:val="24"/>
        </w:rPr>
        <w:t>Inability to provide optimum quality of care</w:t>
      </w:r>
      <w:r w:rsidR="00A95B5F">
        <w:rPr>
          <w:rStyle w:val="Emphasis"/>
          <w:rFonts w:ascii="Arial" w:hAnsi="Arial" w:cs="Arial"/>
          <w:sz w:val="24"/>
        </w:rPr>
        <w:t xml:space="preserve"> according to the BTS national standards of care for patients requiring NIV</w:t>
      </w:r>
      <w:r>
        <w:rPr>
          <w:rStyle w:val="Emphasis"/>
          <w:rFonts w:ascii="Arial" w:hAnsi="Arial" w:cs="Arial"/>
          <w:sz w:val="24"/>
        </w:rPr>
        <w:t>.</w:t>
      </w:r>
    </w:p>
    <w:p w:rsidR="003333CA" w:rsidRDefault="003333CA" w:rsidP="007D2455">
      <w:pPr>
        <w:pStyle w:val="ListParagraph"/>
        <w:numPr>
          <w:ilvl w:val="0"/>
          <w:numId w:val="5"/>
        </w:numPr>
        <w:jc w:val="both"/>
        <w:rPr>
          <w:rStyle w:val="Emphasis"/>
          <w:rFonts w:ascii="Arial" w:hAnsi="Arial" w:cs="Arial"/>
          <w:sz w:val="24"/>
        </w:rPr>
      </w:pPr>
      <w:r>
        <w:rPr>
          <w:rStyle w:val="Emphasis"/>
          <w:rFonts w:ascii="Arial" w:hAnsi="Arial" w:cs="Arial"/>
          <w:sz w:val="24"/>
        </w:rPr>
        <w:t>Risk of breaching the DSSA policy</w:t>
      </w:r>
      <w:r w:rsidR="00A95B5F">
        <w:rPr>
          <w:rStyle w:val="Emphasis"/>
          <w:rFonts w:ascii="Arial" w:hAnsi="Arial" w:cs="Arial"/>
          <w:sz w:val="24"/>
        </w:rPr>
        <w:t xml:space="preserve"> if monitors cannot be flexibly utilised between the two bays</w:t>
      </w:r>
      <w:r>
        <w:rPr>
          <w:rStyle w:val="Emphasis"/>
          <w:rFonts w:ascii="Arial" w:hAnsi="Arial" w:cs="Arial"/>
          <w:sz w:val="24"/>
        </w:rPr>
        <w:t>.</w:t>
      </w:r>
    </w:p>
    <w:p w:rsidR="003333CA" w:rsidRDefault="003333CA" w:rsidP="007D2455">
      <w:pPr>
        <w:pStyle w:val="ListParagraph"/>
        <w:numPr>
          <w:ilvl w:val="0"/>
          <w:numId w:val="5"/>
        </w:numPr>
        <w:jc w:val="both"/>
        <w:rPr>
          <w:rStyle w:val="Emphasis"/>
          <w:rFonts w:ascii="Arial" w:hAnsi="Arial" w:cs="Arial"/>
          <w:sz w:val="24"/>
        </w:rPr>
      </w:pPr>
      <w:r>
        <w:rPr>
          <w:rStyle w:val="Emphasis"/>
          <w:rFonts w:ascii="Arial" w:hAnsi="Arial" w:cs="Arial"/>
          <w:sz w:val="24"/>
        </w:rPr>
        <w:t>Inability for trained NIV nursing staff to provide quality of care and carry out their role</w:t>
      </w:r>
      <w:r w:rsidR="00A95B5F">
        <w:rPr>
          <w:rStyle w:val="Emphasis"/>
          <w:rFonts w:ascii="Arial" w:hAnsi="Arial" w:cs="Arial"/>
          <w:sz w:val="24"/>
        </w:rPr>
        <w:t xml:space="preserve"> as dictated by national guidelines</w:t>
      </w:r>
      <w:r>
        <w:rPr>
          <w:rStyle w:val="Emphasis"/>
          <w:rFonts w:ascii="Arial" w:hAnsi="Arial" w:cs="Arial"/>
          <w:sz w:val="24"/>
        </w:rPr>
        <w:t xml:space="preserve"> due to lack of monitoring equipment.  </w:t>
      </w:r>
    </w:p>
    <w:p w:rsidR="009303ED" w:rsidRPr="003333CA" w:rsidRDefault="009303ED" w:rsidP="007D2455">
      <w:pPr>
        <w:pStyle w:val="ListParagraph"/>
        <w:numPr>
          <w:ilvl w:val="0"/>
          <w:numId w:val="5"/>
        </w:numPr>
        <w:jc w:val="both"/>
        <w:rPr>
          <w:rStyle w:val="Emphasis"/>
          <w:rFonts w:ascii="Arial" w:hAnsi="Arial" w:cs="Arial"/>
          <w:sz w:val="24"/>
        </w:rPr>
      </w:pPr>
      <w:r>
        <w:rPr>
          <w:rStyle w:val="Emphasis"/>
          <w:rFonts w:ascii="Arial" w:hAnsi="Arial" w:cs="Arial"/>
          <w:sz w:val="24"/>
        </w:rPr>
        <w:t xml:space="preserve">Loss of level two income tariff </w:t>
      </w:r>
    </w:p>
    <w:p w:rsidR="005D182E" w:rsidRDefault="005D182E" w:rsidP="007D2455">
      <w:pPr>
        <w:jc w:val="both"/>
        <w:rPr>
          <w:rStyle w:val="Emphasis"/>
          <w:rFonts w:ascii="Arial" w:hAnsi="Arial" w:cs="Arial"/>
          <w:b/>
          <w:sz w:val="24"/>
        </w:rPr>
      </w:pPr>
    </w:p>
    <w:p w:rsidR="00C7498C" w:rsidRPr="005D378E" w:rsidRDefault="005D378E" w:rsidP="007D2455">
      <w:pPr>
        <w:jc w:val="both"/>
        <w:rPr>
          <w:rStyle w:val="Emphasis"/>
          <w:rFonts w:ascii="Arial" w:hAnsi="Arial" w:cs="Arial"/>
          <w:b/>
          <w:sz w:val="24"/>
        </w:rPr>
      </w:pPr>
      <w:r w:rsidRPr="005D378E">
        <w:rPr>
          <w:rStyle w:val="Emphasis"/>
          <w:rFonts w:ascii="Arial" w:hAnsi="Arial" w:cs="Arial"/>
          <w:b/>
          <w:sz w:val="24"/>
        </w:rPr>
        <w:t>Risks of proposal:</w:t>
      </w:r>
    </w:p>
    <w:p w:rsidR="00A95B5F" w:rsidRPr="00A95B5F" w:rsidRDefault="00257B24" w:rsidP="00A95B5F">
      <w:pPr>
        <w:pStyle w:val="ListParagraph"/>
        <w:numPr>
          <w:ilvl w:val="0"/>
          <w:numId w:val="7"/>
        </w:numPr>
        <w:jc w:val="both"/>
        <w:rPr>
          <w:rStyle w:val="Emphasis"/>
          <w:rFonts w:ascii="Arial" w:hAnsi="Arial" w:cs="Arial"/>
          <w:sz w:val="24"/>
        </w:rPr>
      </w:pPr>
      <w:r w:rsidRPr="00257B24">
        <w:rPr>
          <w:rStyle w:val="Emphasis"/>
          <w:rFonts w:ascii="Arial" w:hAnsi="Arial" w:cs="Arial"/>
          <w:sz w:val="24"/>
        </w:rPr>
        <w:t xml:space="preserve">Inability to identify </w:t>
      </w:r>
      <w:r w:rsidR="00A95B5F">
        <w:rPr>
          <w:rStyle w:val="Emphasis"/>
          <w:rFonts w:ascii="Arial" w:hAnsi="Arial" w:cs="Arial"/>
          <w:sz w:val="24"/>
        </w:rPr>
        <w:t xml:space="preserve">sufficient </w:t>
      </w:r>
      <w:r>
        <w:rPr>
          <w:rStyle w:val="Emphasis"/>
          <w:rFonts w:ascii="Arial" w:hAnsi="Arial" w:cs="Arial"/>
          <w:sz w:val="24"/>
        </w:rPr>
        <w:t>funding</w:t>
      </w:r>
      <w:r w:rsidR="009303ED">
        <w:rPr>
          <w:rStyle w:val="Emphasis"/>
          <w:rFonts w:ascii="Arial" w:hAnsi="Arial" w:cs="Arial"/>
          <w:sz w:val="24"/>
        </w:rPr>
        <w:t xml:space="preserve"> for the monitors</w:t>
      </w:r>
      <w:r>
        <w:rPr>
          <w:rStyle w:val="Emphasis"/>
          <w:rFonts w:ascii="Arial" w:hAnsi="Arial" w:cs="Arial"/>
          <w:sz w:val="24"/>
        </w:rPr>
        <w:t xml:space="preserve">. </w:t>
      </w:r>
    </w:p>
    <w:p w:rsidR="00C7498C" w:rsidRPr="00C7498C" w:rsidRDefault="00C7498C" w:rsidP="007D2455">
      <w:pPr>
        <w:jc w:val="both"/>
        <w:rPr>
          <w:rStyle w:val="Emphasis"/>
          <w:rFonts w:ascii="Arial" w:hAnsi="Arial" w:cs="Arial"/>
          <w:sz w:val="24"/>
        </w:rPr>
      </w:pPr>
    </w:p>
    <w:p w:rsidR="00A95B5F" w:rsidRDefault="00A95B5F" w:rsidP="00A95B5F">
      <w:pPr>
        <w:tabs>
          <w:tab w:val="left" w:pos="540"/>
        </w:tabs>
        <w:ind w:left="1260"/>
        <w:jc w:val="both"/>
        <w:rPr>
          <w:rStyle w:val="Emphasis"/>
          <w:rFonts w:ascii="Arial" w:hAnsi="Arial" w:cs="Arial"/>
          <w:b/>
          <w:sz w:val="24"/>
        </w:rPr>
      </w:pPr>
    </w:p>
    <w:p w:rsidR="00A95B5F" w:rsidRDefault="00257B24" w:rsidP="00A95B5F">
      <w:pPr>
        <w:numPr>
          <w:ilvl w:val="0"/>
          <w:numId w:val="1"/>
        </w:numPr>
        <w:tabs>
          <w:tab w:val="left" w:pos="540"/>
        </w:tabs>
        <w:ind w:hanging="1260"/>
        <w:jc w:val="both"/>
        <w:rPr>
          <w:rStyle w:val="Emphasis"/>
          <w:rFonts w:ascii="Arial" w:hAnsi="Arial" w:cs="Arial"/>
          <w:b/>
          <w:sz w:val="24"/>
        </w:rPr>
      </w:pPr>
      <w:r>
        <w:rPr>
          <w:rStyle w:val="Emphasis"/>
          <w:rFonts w:ascii="Arial" w:hAnsi="Arial" w:cs="Arial"/>
          <w:b/>
          <w:sz w:val="24"/>
        </w:rPr>
        <w:t>Benefits</w:t>
      </w:r>
    </w:p>
    <w:p w:rsidR="00A95B5F" w:rsidRDefault="00A95B5F" w:rsidP="00A95B5F">
      <w:pPr>
        <w:tabs>
          <w:tab w:val="left" w:pos="540"/>
        </w:tabs>
        <w:jc w:val="both"/>
        <w:rPr>
          <w:rStyle w:val="Emphasis"/>
          <w:rFonts w:ascii="Arial" w:hAnsi="Arial" w:cs="Arial"/>
          <w:sz w:val="22"/>
        </w:rPr>
      </w:pPr>
      <w:r w:rsidRPr="00A95B5F">
        <w:rPr>
          <w:rStyle w:val="Emphasis"/>
          <w:rFonts w:ascii="Arial" w:hAnsi="Arial" w:cs="Arial"/>
          <w:sz w:val="22"/>
        </w:rPr>
        <w:t xml:space="preserve">Benefits associated with </w:t>
      </w:r>
      <w:r>
        <w:rPr>
          <w:rStyle w:val="Emphasis"/>
          <w:rFonts w:ascii="Arial" w:hAnsi="Arial" w:cs="Arial"/>
          <w:sz w:val="22"/>
        </w:rPr>
        <w:t xml:space="preserve">this business case are outlined </w:t>
      </w:r>
      <w:r w:rsidRPr="00A95B5F">
        <w:rPr>
          <w:rStyle w:val="Emphasis"/>
          <w:rFonts w:ascii="Arial" w:hAnsi="Arial" w:cs="Arial"/>
          <w:sz w:val="22"/>
        </w:rPr>
        <w:t xml:space="preserve">explicitly in the above section which highlights the drivers for change. </w:t>
      </w:r>
    </w:p>
    <w:p w:rsidR="00A95B5F" w:rsidRPr="00A95B5F" w:rsidRDefault="00A95B5F" w:rsidP="00A95B5F">
      <w:pPr>
        <w:tabs>
          <w:tab w:val="left" w:pos="540"/>
        </w:tabs>
        <w:jc w:val="both"/>
        <w:rPr>
          <w:rStyle w:val="Emphasis"/>
          <w:rFonts w:ascii="Arial" w:hAnsi="Arial" w:cs="Arial"/>
          <w:b/>
          <w:sz w:val="24"/>
        </w:rPr>
      </w:pPr>
    </w:p>
    <w:p w:rsidR="00F740BE" w:rsidRPr="00F740BE" w:rsidRDefault="00C7498C" w:rsidP="007D2455">
      <w:pPr>
        <w:numPr>
          <w:ilvl w:val="0"/>
          <w:numId w:val="1"/>
        </w:numPr>
        <w:tabs>
          <w:tab w:val="left" w:pos="540"/>
        </w:tabs>
        <w:ind w:hanging="1260"/>
        <w:jc w:val="both"/>
        <w:rPr>
          <w:rStyle w:val="Emphasis"/>
          <w:rFonts w:ascii="Arial" w:hAnsi="Arial" w:cs="Arial"/>
          <w:b/>
          <w:sz w:val="24"/>
        </w:rPr>
      </w:pPr>
      <w:r w:rsidRPr="00F740BE">
        <w:rPr>
          <w:rStyle w:val="Emphasis"/>
          <w:rFonts w:ascii="Arial" w:hAnsi="Arial" w:cs="Arial"/>
          <w:b/>
          <w:sz w:val="24"/>
        </w:rPr>
        <w:t>Conclusion</w:t>
      </w:r>
    </w:p>
    <w:p w:rsidR="00F740BE" w:rsidRPr="00453773" w:rsidRDefault="00453773" w:rsidP="007D2455">
      <w:pPr>
        <w:jc w:val="both"/>
        <w:rPr>
          <w:rStyle w:val="Emphasis"/>
          <w:rFonts w:ascii="Arial" w:hAnsi="Arial" w:cs="Arial"/>
          <w:sz w:val="22"/>
          <w:szCs w:val="22"/>
        </w:rPr>
      </w:pPr>
      <w:r>
        <w:rPr>
          <w:rStyle w:val="Emphasis"/>
          <w:rFonts w:ascii="Arial" w:hAnsi="Arial" w:cs="Arial"/>
          <w:sz w:val="22"/>
          <w:szCs w:val="22"/>
        </w:rPr>
        <w:t xml:space="preserve">Should the above proposal be accepted, it would ensure the technical equipment provisions are in line with the level two tariff being claimed for this service. It would also ensure the equipment available mirrors the nurse staffing establishments and skill sets which have been previously </w:t>
      </w:r>
      <w:r w:rsidR="00954852">
        <w:rPr>
          <w:rStyle w:val="Emphasis"/>
          <w:rFonts w:ascii="Arial" w:hAnsi="Arial" w:cs="Arial"/>
          <w:sz w:val="22"/>
          <w:szCs w:val="22"/>
        </w:rPr>
        <w:t xml:space="preserve">developed in again in line with the level two tariff for NIV service provision. </w:t>
      </w:r>
    </w:p>
    <w:p w:rsidR="00453773" w:rsidRDefault="00453773" w:rsidP="007D2455">
      <w:pPr>
        <w:jc w:val="both"/>
        <w:rPr>
          <w:rStyle w:val="Emphasis"/>
          <w:rFonts w:ascii="Arial" w:hAnsi="Arial" w:cs="Arial"/>
          <w:b/>
          <w:sz w:val="24"/>
          <w:szCs w:val="22"/>
        </w:rPr>
      </w:pPr>
    </w:p>
    <w:p w:rsidR="009303ED" w:rsidRDefault="009303ED" w:rsidP="007D2455">
      <w:pPr>
        <w:jc w:val="both"/>
        <w:rPr>
          <w:rStyle w:val="Emphasis"/>
          <w:rFonts w:ascii="Arial" w:hAnsi="Arial" w:cs="Arial"/>
          <w:b/>
          <w:sz w:val="24"/>
          <w:szCs w:val="22"/>
        </w:rPr>
      </w:pPr>
    </w:p>
    <w:p w:rsidR="009303ED" w:rsidRDefault="009303ED" w:rsidP="007D2455">
      <w:pPr>
        <w:jc w:val="both"/>
        <w:rPr>
          <w:rStyle w:val="Emphasis"/>
          <w:rFonts w:ascii="Arial" w:hAnsi="Arial" w:cs="Arial"/>
          <w:b/>
          <w:sz w:val="24"/>
          <w:szCs w:val="22"/>
        </w:rPr>
      </w:pPr>
    </w:p>
    <w:p w:rsidR="009303ED" w:rsidRDefault="009303ED" w:rsidP="007D2455">
      <w:pPr>
        <w:jc w:val="both"/>
        <w:rPr>
          <w:rStyle w:val="Emphasis"/>
          <w:rFonts w:ascii="Arial" w:hAnsi="Arial" w:cs="Arial"/>
          <w:b/>
          <w:sz w:val="24"/>
          <w:szCs w:val="22"/>
        </w:rPr>
      </w:pPr>
    </w:p>
    <w:p w:rsidR="009303ED" w:rsidRDefault="009303ED" w:rsidP="007D2455">
      <w:pPr>
        <w:jc w:val="both"/>
        <w:rPr>
          <w:rStyle w:val="Emphasis"/>
          <w:rFonts w:ascii="Arial" w:hAnsi="Arial" w:cs="Arial"/>
          <w:b/>
          <w:sz w:val="24"/>
          <w:szCs w:val="22"/>
        </w:rPr>
      </w:pPr>
    </w:p>
    <w:p w:rsidR="009303ED" w:rsidRDefault="009303ED" w:rsidP="007D2455">
      <w:pPr>
        <w:jc w:val="both"/>
        <w:rPr>
          <w:rStyle w:val="Emphasis"/>
          <w:rFonts w:ascii="Arial" w:hAnsi="Arial" w:cs="Arial"/>
          <w:b/>
          <w:sz w:val="24"/>
          <w:szCs w:val="22"/>
        </w:rPr>
      </w:pPr>
    </w:p>
    <w:p w:rsidR="009303ED" w:rsidRDefault="009303ED" w:rsidP="007D2455">
      <w:pPr>
        <w:jc w:val="both"/>
        <w:rPr>
          <w:rStyle w:val="Emphasis"/>
          <w:rFonts w:ascii="Arial" w:hAnsi="Arial" w:cs="Arial"/>
          <w:b/>
          <w:sz w:val="24"/>
          <w:szCs w:val="22"/>
        </w:rPr>
      </w:pPr>
    </w:p>
    <w:p w:rsidR="009303ED" w:rsidRDefault="009303ED" w:rsidP="007D2455">
      <w:pPr>
        <w:jc w:val="both"/>
        <w:rPr>
          <w:rStyle w:val="Emphasis"/>
          <w:rFonts w:ascii="Arial" w:hAnsi="Arial" w:cs="Arial"/>
          <w:b/>
          <w:sz w:val="24"/>
          <w:szCs w:val="22"/>
        </w:rPr>
      </w:pPr>
    </w:p>
    <w:p w:rsidR="009303ED" w:rsidRDefault="009303ED" w:rsidP="007D2455">
      <w:pPr>
        <w:jc w:val="both"/>
        <w:rPr>
          <w:rStyle w:val="Emphasis"/>
          <w:rFonts w:ascii="Arial" w:hAnsi="Arial" w:cs="Arial"/>
          <w:b/>
          <w:sz w:val="24"/>
          <w:szCs w:val="22"/>
        </w:rPr>
      </w:pPr>
    </w:p>
    <w:p w:rsidR="009303ED" w:rsidRDefault="009303ED" w:rsidP="007D2455">
      <w:pPr>
        <w:jc w:val="both"/>
        <w:rPr>
          <w:rStyle w:val="Emphasis"/>
          <w:rFonts w:ascii="Arial" w:hAnsi="Arial" w:cs="Arial"/>
          <w:b/>
          <w:sz w:val="24"/>
          <w:szCs w:val="22"/>
        </w:rPr>
      </w:pPr>
    </w:p>
    <w:p w:rsidR="009303ED" w:rsidRDefault="009303ED" w:rsidP="007D2455">
      <w:pPr>
        <w:jc w:val="both"/>
        <w:rPr>
          <w:rStyle w:val="Emphasis"/>
          <w:rFonts w:ascii="Arial" w:hAnsi="Arial" w:cs="Arial"/>
          <w:b/>
          <w:sz w:val="24"/>
          <w:szCs w:val="22"/>
        </w:rPr>
      </w:pPr>
    </w:p>
    <w:p w:rsidR="009303ED" w:rsidRDefault="009303ED" w:rsidP="007D2455">
      <w:pPr>
        <w:jc w:val="both"/>
        <w:rPr>
          <w:rStyle w:val="Emphasis"/>
          <w:rFonts w:ascii="Arial" w:hAnsi="Arial" w:cs="Arial"/>
          <w:b/>
          <w:sz w:val="24"/>
          <w:szCs w:val="22"/>
        </w:rPr>
      </w:pPr>
    </w:p>
    <w:p w:rsidR="009303ED" w:rsidRDefault="009303ED" w:rsidP="007D2455">
      <w:pPr>
        <w:jc w:val="both"/>
        <w:rPr>
          <w:rStyle w:val="Emphasis"/>
          <w:rFonts w:ascii="Arial" w:hAnsi="Arial" w:cs="Arial"/>
          <w:b/>
          <w:sz w:val="24"/>
          <w:szCs w:val="22"/>
        </w:rPr>
      </w:pPr>
    </w:p>
    <w:p w:rsidR="009303ED" w:rsidRDefault="009303ED" w:rsidP="007D2455">
      <w:pPr>
        <w:jc w:val="both"/>
        <w:rPr>
          <w:rStyle w:val="Emphasis"/>
          <w:rFonts w:ascii="Arial" w:hAnsi="Arial" w:cs="Arial"/>
          <w:b/>
          <w:sz w:val="24"/>
          <w:szCs w:val="22"/>
        </w:rPr>
      </w:pPr>
    </w:p>
    <w:p w:rsidR="009303ED" w:rsidRDefault="009303ED" w:rsidP="007D2455">
      <w:pPr>
        <w:jc w:val="both"/>
        <w:rPr>
          <w:rStyle w:val="Emphasis"/>
          <w:rFonts w:ascii="Arial" w:hAnsi="Arial" w:cs="Arial"/>
          <w:b/>
          <w:sz w:val="24"/>
          <w:szCs w:val="22"/>
        </w:rPr>
      </w:pPr>
    </w:p>
    <w:p w:rsidR="009303ED" w:rsidRDefault="009303ED" w:rsidP="007D2455">
      <w:pPr>
        <w:jc w:val="both"/>
        <w:rPr>
          <w:rStyle w:val="Emphasis"/>
          <w:rFonts w:ascii="Arial" w:hAnsi="Arial" w:cs="Arial"/>
          <w:b/>
          <w:sz w:val="24"/>
          <w:szCs w:val="22"/>
        </w:rPr>
      </w:pPr>
    </w:p>
    <w:p w:rsidR="009303ED" w:rsidRDefault="009303ED" w:rsidP="007D2455">
      <w:pPr>
        <w:jc w:val="both"/>
        <w:rPr>
          <w:rStyle w:val="Emphasis"/>
          <w:rFonts w:ascii="Arial" w:hAnsi="Arial" w:cs="Arial"/>
          <w:b/>
          <w:sz w:val="24"/>
          <w:szCs w:val="22"/>
        </w:rPr>
      </w:pPr>
    </w:p>
    <w:p w:rsidR="009303ED" w:rsidRDefault="009303ED" w:rsidP="007D2455">
      <w:pPr>
        <w:jc w:val="both"/>
        <w:rPr>
          <w:rStyle w:val="Emphasis"/>
          <w:rFonts w:ascii="Arial" w:hAnsi="Arial" w:cs="Arial"/>
          <w:b/>
          <w:sz w:val="24"/>
          <w:szCs w:val="22"/>
        </w:rPr>
      </w:pPr>
    </w:p>
    <w:p w:rsidR="000039E8" w:rsidRPr="00304592" w:rsidRDefault="0026724D" w:rsidP="00304592">
      <w:pPr>
        <w:tabs>
          <w:tab w:val="left" w:pos="1105"/>
        </w:tabs>
        <w:jc w:val="both"/>
        <w:rPr>
          <w:rFonts w:ascii="Arial" w:hAnsi="Arial" w:cs="Arial"/>
          <w:sz w:val="22"/>
          <w:szCs w:val="22"/>
        </w:rPr>
      </w:pPr>
    </w:p>
    <w:sectPr w:rsidR="000039E8" w:rsidRPr="00304592" w:rsidSect="009F4D18">
      <w:headerReference w:type="default" r:id="rId10"/>
      <w:footerReference w:type="default" r:id="rId11"/>
      <w:pgSz w:w="11909" w:h="16834" w:code="9"/>
      <w:pgMar w:top="1134" w:right="964" w:bottom="709" w:left="964" w:header="720" w:footer="36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24D" w:rsidRDefault="0026724D" w:rsidP="00C7498C">
      <w:r>
        <w:separator/>
      </w:r>
    </w:p>
  </w:endnote>
  <w:endnote w:type="continuationSeparator" w:id="0">
    <w:p w:rsidR="0026724D" w:rsidRDefault="0026724D" w:rsidP="00C7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8CB" w:rsidRPr="00430D4C" w:rsidRDefault="0026724D" w:rsidP="00430D4C">
    <w:pPr>
      <w:pStyle w:val="Footer"/>
      <w:tabs>
        <w:tab w:val="clear" w:pos="8640"/>
        <w:tab w:val="right" w:pos="9900"/>
      </w:tabs>
      <w:rPr>
        <w:rFonts w:ascii="Arial" w:hAnsi="Arial"/>
        <w:b/>
        <w:bCs/>
        <w:color w:val="C0C0C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24D" w:rsidRDefault="0026724D" w:rsidP="00C7498C">
      <w:r>
        <w:separator/>
      </w:r>
    </w:p>
  </w:footnote>
  <w:footnote w:type="continuationSeparator" w:id="0">
    <w:p w:rsidR="0026724D" w:rsidRDefault="0026724D" w:rsidP="00C74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8CB" w:rsidRPr="00AA21D6" w:rsidRDefault="00C7498C" w:rsidP="00AA21D6">
    <w:pPr>
      <w:pStyle w:val="Header"/>
    </w:pPr>
    <w:r>
      <w:rPr>
        <w:noProof/>
        <w:lang w:eastAsia="en-GB"/>
      </w:rPr>
      <w:drawing>
        <wp:anchor distT="0" distB="0" distL="114300" distR="114300" simplePos="0" relativeHeight="251659264" behindDoc="0" locked="0" layoutInCell="1" allowOverlap="1" wp14:anchorId="5496D8B3" wp14:editId="3A043068">
          <wp:simplePos x="0" y="0"/>
          <wp:positionH relativeFrom="column">
            <wp:posOffset>3714750</wp:posOffset>
          </wp:positionH>
          <wp:positionV relativeFrom="paragraph">
            <wp:posOffset>-133350</wp:posOffset>
          </wp:positionV>
          <wp:extent cx="3000375" cy="419100"/>
          <wp:effectExtent l="0" t="0" r="9525" b="0"/>
          <wp:wrapSquare wrapText="bothSides"/>
          <wp:docPr id="4" name="Picture 4" descr="SFH logo 300dpi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H logo 300dpi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419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02CC"/>
    <w:multiLevelType w:val="hybridMultilevel"/>
    <w:tmpl w:val="11729F76"/>
    <w:lvl w:ilvl="0" w:tplc="DE1A1C56">
      <w:start w:val="1"/>
      <w:numFmt w:val="decimal"/>
      <w:lvlText w:val="%1."/>
      <w:lvlJc w:val="left"/>
      <w:pPr>
        <w:ind w:left="1260" w:hanging="360"/>
      </w:pPr>
      <w:rPr>
        <w:rFonts w:hint="default"/>
        <w:b/>
      </w:r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
    <w:nsid w:val="087D596A"/>
    <w:multiLevelType w:val="hybridMultilevel"/>
    <w:tmpl w:val="0B087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65B4A03"/>
    <w:multiLevelType w:val="hybridMultilevel"/>
    <w:tmpl w:val="2E7E1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184741E"/>
    <w:multiLevelType w:val="hybridMultilevel"/>
    <w:tmpl w:val="B986EE6E"/>
    <w:lvl w:ilvl="0" w:tplc="A55888C6">
      <w:numFmt w:val="bullet"/>
      <w:lvlText w:val="-"/>
      <w:lvlJc w:val="left"/>
      <w:pPr>
        <w:ind w:left="720" w:hanging="360"/>
      </w:pPr>
      <w:rPr>
        <w:rFonts w:ascii="Arial" w:eastAsia="Times New Roman" w:hAnsi="Arial" w:cs="Arial" w:hint="default"/>
        <w:b w:val="0"/>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930F75"/>
    <w:multiLevelType w:val="hybridMultilevel"/>
    <w:tmpl w:val="B450D3EA"/>
    <w:lvl w:ilvl="0" w:tplc="9D48452A">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20426E"/>
    <w:multiLevelType w:val="hybridMultilevel"/>
    <w:tmpl w:val="84E26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AC329DD"/>
    <w:multiLevelType w:val="hybridMultilevel"/>
    <w:tmpl w:val="28883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5EC5B2C"/>
    <w:multiLevelType w:val="hybridMultilevel"/>
    <w:tmpl w:val="3E3A9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FA33015"/>
    <w:multiLevelType w:val="hybridMultilevel"/>
    <w:tmpl w:val="A7BE9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8"/>
  </w:num>
  <w:num w:numId="5">
    <w:abstractNumId w:val="1"/>
  </w:num>
  <w:num w:numId="6">
    <w:abstractNumId w:val="7"/>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98C"/>
    <w:rsid w:val="000C0B16"/>
    <w:rsid w:val="001B0BE5"/>
    <w:rsid w:val="00217DF4"/>
    <w:rsid w:val="00257B24"/>
    <w:rsid w:val="0026724D"/>
    <w:rsid w:val="002962BE"/>
    <w:rsid w:val="002E4B94"/>
    <w:rsid w:val="002F48D7"/>
    <w:rsid w:val="00304592"/>
    <w:rsid w:val="00332D4C"/>
    <w:rsid w:val="003333CA"/>
    <w:rsid w:val="003B4B74"/>
    <w:rsid w:val="003E2E01"/>
    <w:rsid w:val="00414B01"/>
    <w:rsid w:val="00453773"/>
    <w:rsid w:val="00524A5F"/>
    <w:rsid w:val="005D182E"/>
    <w:rsid w:val="005D378E"/>
    <w:rsid w:val="005E739B"/>
    <w:rsid w:val="0063208A"/>
    <w:rsid w:val="00670690"/>
    <w:rsid w:val="00797B75"/>
    <w:rsid w:val="007B0A2E"/>
    <w:rsid w:val="007D2455"/>
    <w:rsid w:val="00801773"/>
    <w:rsid w:val="00886FE5"/>
    <w:rsid w:val="008F2B4D"/>
    <w:rsid w:val="009303ED"/>
    <w:rsid w:val="00954852"/>
    <w:rsid w:val="00970B49"/>
    <w:rsid w:val="009F4D18"/>
    <w:rsid w:val="00A13265"/>
    <w:rsid w:val="00A22D3F"/>
    <w:rsid w:val="00A77D87"/>
    <w:rsid w:val="00A95B5F"/>
    <w:rsid w:val="00B67B80"/>
    <w:rsid w:val="00B75305"/>
    <w:rsid w:val="00BC2E97"/>
    <w:rsid w:val="00C34759"/>
    <w:rsid w:val="00C7498C"/>
    <w:rsid w:val="00CF4FC7"/>
    <w:rsid w:val="00CF5485"/>
    <w:rsid w:val="00D17BA0"/>
    <w:rsid w:val="00D75F7B"/>
    <w:rsid w:val="00D80232"/>
    <w:rsid w:val="00DB215D"/>
    <w:rsid w:val="00DE2D18"/>
    <w:rsid w:val="00E22999"/>
    <w:rsid w:val="00E46F31"/>
    <w:rsid w:val="00F740BE"/>
    <w:rsid w:val="00F95346"/>
    <w:rsid w:val="00F97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9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498C"/>
    <w:pPr>
      <w:tabs>
        <w:tab w:val="center" w:pos="4320"/>
        <w:tab w:val="right" w:pos="8640"/>
      </w:tabs>
    </w:pPr>
  </w:style>
  <w:style w:type="character" w:customStyle="1" w:styleId="HeaderChar">
    <w:name w:val="Header Char"/>
    <w:basedOn w:val="DefaultParagraphFont"/>
    <w:link w:val="Header"/>
    <w:uiPriority w:val="99"/>
    <w:rsid w:val="00C7498C"/>
    <w:rPr>
      <w:rFonts w:ascii="Times New Roman" w:eastAsia="Times New Roman" w:hAnsi="Times New Roman" w:cs="Times New Roman"/>
      <w:sz w:val="24"/>
      <w:szCs w:val="24"/>
    </w:rPr>
  </w:style>
  <w:style w:type="paragraph" w:styleId="Footer">
    <w:name w:val="footer"/>
    <w:basedOn w:val="Normal"/>
    <w:link w:val="FooterChar"/>
    <w:uiPriority w:val="99"/>
    <w:rsid w:val="00C7498C"/>
    <w:pPr>
      <w:tabs>
        <w:tab w:val="center" w:pos="4320"/>
        <w:tab w:val="right" w:pos="8640"/>
      </w:tabs>
    </w:pPr>
  </w:style>
  <w:style w:type="character" w:customStyle="1" w:styleId="FooterChar">
    <w:name w:val="Footer Char"/>
    <w:basedOn w:val="DefaultParagraphFont"/>
    <w:link w:val="Footer"/>
    <w:uiPriority w:val="99"/>
    <w:rsid w:val="00C7498C"/>
    <w:rPr>
      <w:rFonts w:ascii="Times New Roman" w:eastAsia="Times New Roman" w:hAnsi="Times New Roman" w:cs="Times New Roman"/>
      <w:sz w:val="24"/>
      <w:szCs w:val="24"/>
    </w:rPr>
  </w:style>
  <w:style w:type="character" w:styleId="Emphasis">
    <w:name w:val="Emphasis"/>
    <w:qFormat/>
    <w:rsid w:val="00C7498C"/>
    <w:rPr>
      <w:rFonts w:ascii="Arial Black" w:hAnsi="Arial Black"/>
      <w:sz w:val="18"/>
    </w:rPr>
  </w:style>
  <w:style w:type="paragraph" w:styleId="NoSpacing">
    <w:name w:val="No Spacing"/>
    <w:uiPriority w:val="1"/>
    <w:qFormat/>
    <w:rsid w:val="00C7498C"/>
    <w:pPr>
      <w:spacing w:after="0" w:line="240" w:lineRule="auto"/>
    </w:pPr>
    <w:rPr>
      <w:rFonts w:ascii="Calibri" w:eastAsia="Times New Roman" w:hAnsi="Calibri" w:cs="Times New Roman"/>
    </w:rPr>
  </w:style>
  <w:style w:type="paragraph" w:styleId="ListParagraph">
    <w:name w:val="List Paragraph"/>
    <w:basedOn w:val="Normal"/>
    <w:uiPriority w:val="34"/>
    <w:qFormat/>
    <w:rsid w:val="003333CA"/>
    <w:pPr>
      <w:ind w:left="720"/>
      <w:contextualSpacing/>
    </w:pPr>
  </w:style>
  <w:style w:type="paragraph" w:styleId="BalloonText">
    <w:name w:val="Balloon Text"/>
    <w:basedOn w:val="Normal"/>
    <w:link w:val="BalloonTextChar"/>
    <w:uiPriority w:val="99"/>
    <w:semiHidden/>
    <w:unhideWhenUsed/>
    <w:rsid w:val="00217DF4"/>
    <w:rPr>
      <w:rFonts w:ascii="Tahoma" w:hAnsi="Tahoma" w:cs="Tahoma"/>
      <w:sz w:val="16"/>
      <w:szCs w:val="16"/>
    </w:rPr>
  </w:style>
  <w:style w:type="character" w:customStyle="1" w:styleId="BalloonTextChar">
    <w:name w:val="Balloon Text Char"/>
    <w:basedOn w:val="DefaultParagraphFont"/>
    <w:link w:val="BalloonText"/>
    <w:uiPriority w:val="99"/>
    <w:semiHidden/>
    <w:rsid w:val="00217DF4"/>
    <w:rPr>
      <w:rFonts w:ascii="Tahoma" w:eastAsia="Times New Roman" w:hAnsi="Tahoma" w:cs="Tahoma"/>
      <w:sz w:val="16"/>
      <w:szCs w:val="16"/>
    </w:rPr>
  </w:style>
  <w:style w:type="character" w:styleId="Hyperlink">
    <w:name w:val="Hyperlink"/>
    <w:basedOn w:val="DefaultParagraphFont"/>
    <w:uiPriority w:val="99"/>
    <w:semiHidden/>
    <w:unhideWhenUsed/>
    <w:rsid w:val="00801773"/>
    <w:rPr>
      <w:color w:val="0000FF"/>
      <w:u w:val="single"/>
    </w:rPr>
  </w:style>
  <w:style w:type="character" w:styleId="FollowedHyperlink">
    <w:name w:val="FollowedHyperlink"/>
    <w:basedOn w:val="DefaultParagraphFont"/>
    <w:uiPriority w:val="99"/>
    <w:semiHidden/>
    <w:unhideWhenUsed/>
    <w:rsid w:val="00D80232"/>
    <w:rPr>
      <w:color w:val="800080" w:themeColor="followedHyperlink"/>
      <w:u w:val="single"/>
    </w:rPr>
  </w:style>
  <w:style w:type="table" w:styleId="TableGrid">
    <w:name w:val="Table Grid"/>
    <w:basedOn w:val="TableNormal"/>
    <w:uiPriority w:val="59"/>
    <w:rsid w:val="00D80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9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498C"/>
    <w:pPr>
      <w:tabs>
        <w:tab w:val="center" w:pos="4320"/>
        <w:tab w:val="right" w:pos="8640"/>
      </w:tabs>
    </w:pPr>
  </w:style>
  <w:style w:type="character" w:customStyle="1" w:styleId="HeaderChar">
    <w:name w:val="Header Char"/>
    <w:basedOn w:val="DefaultParagraphFont"/>
    <w:link w:val="Header"/>
    <w:uiPriority w:val="99"/>
    <w:rsid w:val="00C7498C"/>
    <w:rPr>
      <w:rFonts w:ascii="Times New Roman" w:eastAsia="Times New Roman" w:hAnsi="Times New Roman" w:cs="Times New Roman"/>
      <w:sz w:val="24"/>
      <w:szCs w:val="24"/>
    </w:rPr>
  </w:style>
  <w:style w:type="paragraph" w:styleId="Footer">
    <w:name w:val="footer"/>
    <w:basedOn w:val="Normal"/>
    <w:link w:val="FooterChar"/>
    <w:uiPriority w:val="99"/>
    <w:rsid w:val="00C7498C"/>
    <w:pPr>
      <w:tabs>
        <w:tab w:val="center" w:pos="4320"/>
        <w:tab w:val="right" w:pos="8640"/>
      </w:tabs>
    </w:pPr>
  </w:style>
  <w:style w:type="character" w:customStyle="1" w:styleId="FooterChar">
    <w:name w:val="Footer Char"/>
    <w:basedOn w:val="DefaultParagraphFont"/>
    <w:link w:val="Footer"/>
    <w:uiPriority w:val="99"/>
    <w:rsid w:val="00C7498C"/>
    <w:rPr>
      <w:rFonts w:ascii="Times New Roman" w:eastAsia="Times New Roman" w:hAnsi="Times New Roman" w:cs="Times New Roman"/>
      <w:sz w:val="24"/>
      <w:szCs w:val="24"/>
    </w:rPr>
  </w:style>
  <w:style w:type="character" w:styleId="Emphasis">
    <w:name w:val="Emphasis"/>
    <w:qFormat/>
    <w:rsid w:val="00C7498C"/>
    <w:rPr>
      <w:rFonts w:ascii="Arial Black" w:hAnsi="Arial Black"/>
      <w:sz w:val="18"/>
    </w:rPr>
  </w:style>
  <w:style w:type="paragraph" w:styleId="NoSpacing">
    <w:name w:val="No Spacing"/>
    <w:uiPriority w:val="1"/>
    <w:qFormat/>
    <w:rsid w:val="00C7498C"/>
    <w:pPr>
      <w:spacing w:after="0" w:line="240" w:lineRule="auto"/>
    </w:pPr>
    <w:rPr>
      <w:rFonts w:ascii="Calibri" w:eastAsia="Times New Roman" w:hAnsi="Calibri" w:cs="Times New Roman"/>
    </w:rPr>
  </w:style>
  <w:style w:type="paragraph" w:styleId="ListParagraph">
    <w:name w:val="List Paragraph"/>
    <w:basedOn w:val="Normal"/>
    <w:uiPriority w:val="34"/>
    <w:qFormat/>
    <w:rsid w:val="003333CA"/>
    <w:pPr>
      <w:ind w:left="720"/>
      <w:contextualSpacing/>
    </w:pPr>
  </w:style>
  <w:style w:type="paragraph" w:styleId="BalloonText">
    <w:name w:val="Balloon Text"/>
    <w:basedOn w:val="Normal"/>
    <w:link w:val="BalloonTextChar"/>
    <w:uiPriority w:val="99"/>
    <w:semiHidden/>
    <w:unhideWhenUsed/>
    <w:rsid w:val="00217DF4"/>
    <w:rPr>
      <w:rFonts w:ascii="Tahoma" w:hAnsi="Tahoma" w:cs="Tahoma"/>
      <w:sz w:val="16"/>
      <w:szCs w:val="16"/>
    </w:rPr>
  </w:style>
  <w:style w:type="character" w:customStyle="1" w:styleId="BalloonTextChar">
    <w:name w:val="Balloon Text Char"/>
    <w:basedOn w:val="DefaultParagraphFont"/>
    <w:link w:val="BalloonText"/>
    <w:uiPriority w:val="99"/>
    <w:semiHidden/>
    <w:rsid w:val="00217DF4"/>
    <w:rPr>
      <w:rFonts w:ascii="Tahoma" w:eastAsia="Times New Roman" w:hAnsi="Tahoma" w:cs="Tahoma"/>
      <w:sz w:val="16"/>
      <w:szCs w:val="16"/>
    </w:rPr>
  </w:style>
  <w:style w:type="character" w:styleId="Hyperlink">
    <w:name w:val="Hyperlink"/>
    <w:basedOn w:val="DefaultParagraphFont"/>
    <w:uiPriority w:val="99"/>
    <w:semiHidden/>
    <w:unhideWhenUsed/>
    <w:rsid w:val="00801773"/>
    <w:rPr>
      <w:color w:val="0000FF"/>
      <w:u w:val="single"/>
    </w:rPr>
  </w:style>
  <w:style w:type="character" w:styleId="FollowedHyperlink">
    <w:name w:val="FollowedHyperlink"/>
    <w:basedOn w:val="DefaultParagraphFont"/>
    <w:uiPriority w:val="99"/>
    <w:semiHidden/>
    <w:unhideWhenUsed/>
    <w:rsid w:val="00D80232"/>
    <w:rPr>
      <w:color w:val="800080" w:themeColor="followedHyperlink"/>
      <w:u w:val="single"/>
    </w:rPr>
  </w:style>
  <w:style w:type="table" w:styleId="TableGrid">
    <w:name w:val="Table Grid"/>
    <w:basedOn w:val="TableNormal"/>
    <w:uiPriority w:val="59"/>
    <w:rsid w:val="00D80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0A651-1C13-4D15-8766-5D845C0C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NHIS</Company>
  <LinksUpToDate>false</LinksUpToDate>
  <CharactersWithSpaces>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cp:lastPrinted>2016-12-30T11:48:00Z</cp:lastPrinted>
  <dcterms:created xsi:type="dcterms:W3CDTF">2019-06-10T08:09:00Z</dcterms:created>
  <dcterms:modified xsi:type="dcterms:W3CDTF">2019-06-10T08:09:00Z</dcterms:modified>
</cp:coreProperties>
</file>