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35" w:rsidRPr="00392635" w:rsidRDefault="00392635" w:rsidP="00392635">
      <w:pPr>
        <w:jc w:val="center"/>
        <w:rPr>
          <w:rFonts w:ascii="Arial" w:hAnsi="Arial" w:cs="Arial"/>
          <w:b/>
          <w:sz w:val="24"/>
          <w:szCs w:val="24"/>
        </w:rPr>
      </w:pPr>
      <w:r w:rsidRPr="00392635">
        <w:rPr>
          <w:rFonts w:ascii="Arial" w:hAnsi="Arial" w:cs="Arial"/>
          <w:b/>
          <w:sz w:val="24"/>
          <w:szCs w:val="24"/>
          <w:u w:val="single"/>
        </w:rPr>
        <w:t>Staffing Escalation policy for the Respiratory Support Unit</w:t>
      </w:r>
    </w:p>
    <w:p w:rsidR="00392635" w:rsidRPr="00392635" w:rsidRDefault="00392635" w:rsidP="00392635">
      <w:pPr>
        <w:rPr>
          <w:rFonts w:ascii="Arial" w:hAnsi="Arial" w:cs="Arial"/>
          <w:sz w:val="24"/>
          <w:szCs w:val="24"/>
        </w:rPr>
      </w:pPr>
      <w:r w:rsidRPr="00392635">
        <w:rPr>
          <w:rFonts w:ascii="Arial" w:hAnsi="Arial" w:cs="Arial"/>
          <w:sz w:val="24"/>
          <w:szCs w:val="24"/>
        </w:rPr>
        <w:t>Current staffing levels establishment levels are:</w:t>
      </w:r>
    </w:p>
    <w:p w:rsidR="00392635" w:rsidRPr="00392635" w:rsidRDefault="00392635" w:rsidP="00392635">
      <w:pPr>
        <w:pStyle w:val="ListParagraph"/>
        <w:numPr>
          <w:ilvl w:val="0"/>
          <w:numId w:val="1"/>
        </w:numPr>
        <w:rPr>
          <w:rFonts w:ascii="Arial" w:hAnsi="Arial" w:cs="Arial"/>
          <w:sz w:val="24"/>
          <w:szCs w:val="24"/>
        </w:rPr>
      </w:pPr>
      <w:r w:rsidRPr="00392635">
        <w:rPr>
          <w:rFonts w:ascii="Arial" w:hAnsi="Arial" w:cs="Arial"/>
          <w:sz w:val="24"/>
          <w:szCs w:val="24"/>
        </w:rPr>
        <w:t>During the hours of 07.00 and 19.30 5 Registered Nurses.</w:t>
      </w:r>
    </w:p>
    <w:p w:rsidR="00392635" w:rsidRPr="00392635" w:rsidRDefault="00392635" w:rsidP="00392635">
      <w:pPr>
        <w:pStyle w:val="ListParagraph"/>
        <w:numPr>
          <w:ilvl w:val="0"/>
          <w:numId w:val="1"/>
        </w:numPr>
        <w:rPr>
          <w:rFonts w:ascii="Arial" w:hAnsi="Arial" w:cs="Arial"/>
          <w:sz w:val="24"/>
          <w:szCs w:val="24"/>
        </w:rPr>
      </w:pPr>
      <w:r w:rsidRPr="00392635">
        <w:rPr>
          <w:rFonts w:ascii="Arial" w:hAnsi="Arial" w:cs="Arial"/>
          <w:sz w:val="24"/>
          <w:szCs w:val="24"/>
        </w:rPr>
        <w:t>During the hours of 19.30 and 07.30 5 Registered Nurses.</w:t>
      </w:r>
    </w:p>
    <w:tbl>
      <w:tblPr>
        <w:tblStyle w:val="TableGrid"/>
        <w:tblpPr w:leftFromText="180" w:rightFromText="180" w:vertAnchor="text" w:horzAnchor="margin" w:tblpY="234"/>
        <w:tblW w:w="9228" w:type="dxa"/>
        <w:tblLook w:val="04A0" w:firstRow="1" w:lastRow="0" w:firstColumn="1" w:lastColumn="0" w:noHBand="0" w:noVBand="1"/>
      </w:tblPr>
      <w:tblGrid>
        <w:gridCol w:w="3952"/>
        <w:gridCol w:w="1841"/>
        <w:gridCol w:w="1934"/>
        <w:gridCol w:w="1501"/>
      </w:tblGrid>
      <w:tr w:rsidR="00392635" w:rsidRPr="00763CFC" w:rsidTr="00763CFC">
        <w:trPr>
          <w:trHeight w:val="740"/>
        </w:trPr>
        <w:tc>
          <w:tcPr>
            <w:tcW w:w="3952" w:type="dxa"/>
            <w:vAlign w:val="center"/>
          </w:tcPr>
          <w:p w:rsidR="00392635" w:rsidRPr="00763CFC" w:rsidRDefault="00392635" w:rsidP="00392635">
            <w:pPr>
              <w:rPr>
                <w:rFonts w:ascii="Arial" w:hAnsi="Arial" w:cs="Arial"/>
                <w:b/>
                <w:sz w:val="20"/>
                <w:szCs w:val="20"/>
              </w:rPr>
            </w:pPr>
            <w:r w:rsidRPr="00763CFC">
              <w:rPr>
                <w:rFonts w:ascii="Arial" w:hAnsi="Arial" w:cs="Arial"/>
                <w:b/>
                <w:sz w:val="20"/>
                <w:szCs w:val="20"/>
              </w:rPr>
              <w:t>Patient numbers in acute phase of NIV</w:t>
            </w:r>
          </w:p>
        </w:tc>
        <w:tc>
          <w:tcPr>
            <w:tcW w:w="1841" w:type="dxa"/>
            <w:vAlign w:val="center"/>
          </w:tcPr>
          <w:p w:rsidR="00392635" w:rsidRPr="00763CFC" w:rsidRDefault="00392635" w:rsidP="00392635">
            <w:pPr>
              <w:jc w:val="center"/>
              <w:rPr>
                <w:rFonts w:ascii="Arial" w:hAnsi="Arial" w:cs="Arial"/>
                <w:b/>
                <w:sz w:val="20"/>
                <w:szCs w:val="20"/>
              </w:rPr>
            </w:pPr>
            <w:r w:rsidRPr="00763CFC">
              <w:rPr>
                <w:rFonts w:ascii="Arial" w:hAnsi="Arial" w:cs="Arial"/>
                <w:b/>
                <w:sz w:val="20"/>
                <w:szCs w:val="20"/>
              </w:rPr>
              <w:t>Total numbers of staff RN</w:t>
            </w:r>
          </w:p>
        </w:tc>
        <w:tc>
          <w:tcPr>
            <w:tcW w:w="1934" w:type="dxa"/>
            <w:vAlign w:val="center"/>
          </w:tcPr>
          <w:p w:rsidR="00392635" w:rsidRPr="00763CFC" w:rsidRDefault="00392635" w:rsidP="00392635">
            <w:pPr>
              <w:jc w:val="center"/>
              <w:rPr>
                <w:rFonts w:ascii="Arial" w:hAnsi="Arial" w:cs="Arial"/>
                <w:b/>
                <w:sz w:val="20"/>
                <w:szCs w:val="20"/>
              </w:rPr>
            </w:pPr>
            <w:r w:rsidRPr="00763CFC">
              <w:rPr>
                <w:rFonts w:ascii="Arial" w:hAnsi="Arial" w:cs="Arial"/>
                <w:b/>
                <w:sz w:val="20"/>
                <w:szCs w:val="20"/>
              </w:rPr>
              <w:t>Total numbers of NIV trained staff</w:t>
            </w:r>
          </w:p>
        </w:tc>
        <w:tc>
          <w:tcPr>
            <w:tcW w:w="1501" w:type="dxa"/>
            <w:vAlign w:val="center"/>
          </w:tcPr>
          <w:p w:rsidR="00392635" w:rsidRPr="00763CFC" w:rsidRDefault="00392635" w:rsidP="00392635">
            <w:pPr>
              <w:jc w:val="center"/>
              <w:rPr>
                <w:rFonts w:ascii="Arial" w:hAnsi="Arial" w:cs="Arial"/>
                <w:b/>
                <w:sz w:val="20"/>
                <w:szCs w:val="20"/>
              </w:rPr>
            </w:pPr>
            <w:r w:rsidRPr="00763CFC">
              <w:rPr>
                <w:rFonts w:ascii="Arial" w:hAnsi="Arial" w:cs="Arial"/>
                <w:b/>
                <w:sz w:val="20"/>
                <w:szCs w:val="20"/>
              </w:rPr>
              <w:t>Action</w:t>
            </w:r>
          </w:p>
        </w:tc>
      </w:tr>
      <w:tr w:rsidR="00392635" w:rsidRPr="00763CFC" w:rsidTr="00763CFC">
        <w:trPr>
          <w:trHeight w:val="246"/>
        </w:trPr>
        <w:tc>
          <w:tcPr>
            <w:tcW w:w="3952"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0</w:t>
            </w:r>
          </w:p>
        </w:tc>
        <w:tc>
          <w:tcPr>
            <w:tcW w:w="184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934"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1</w:t>
            </w:r>
          </w:p>
        </w:tc>
        <w:tc>
          <w:tcPr>
            <w:tcW w:w="150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A</w:t>
            </w:r>
          </w:p>
        </w:tc>
      </w:tr>
      <w:tr w:rsidR="00392635" w:rsidRPr="00763CFC" w:rsidTr="00763CFC">
        <w:trPr>
          <w:trHeight w:val="236"/>
        </w:trPr>
        <w:tc>
          <w:tcPr>
            <w:tcW w:w="3952"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1</w:t>
            </w:r>
          </w:p>
        </w:tc>
        <w:tc>
          <w:tcPr>
            <w:tcW w:w="184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934"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1</w:t>
            </w:r>
          </w:p>
        </w:tc>
        <w:tc>
          <w:tcPr>
            <w:tcW w:w="150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A</w:t>
            </w:r>
          </w:p>
        </w:tc>
      </w:tr>
      <w:tr w:rsidR="00392635" w:rsidRPr="00763CFC" w:rsidTr="00763CFC">
        <w:trPr>
          <w:trHeight w:val="267"/>
        </w:trPr>
        <w:tc>
          <w:tcPr>
            <w:tcW w:w="3952"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2</w:t>
            </w:r>
          </w:p>
        </w:tc>
        <w:tc>
          <w:tcPr>
            <w:tcW w:w="184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934"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1</w:t>
            </w:r>
          </w:p>
        </w:tc>
        <w:tc>
          <w:tcPr>
            <w:tcW w:w="150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A</w:t>
            </w:r>
          </w:p>
        </w:tc>
      </w:tr>
      <w:tr w:rsidR="00392635" w:rsidRPr="00763CFC" w:rsidTr="00763CFC">
        <w:trPr>
          <w:trHeight w:val="246"/>
        </w:trPr>
        <w:tc>
          <w:tcPr>
            <w:tcW w:w="3952"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3</w:t>
            </w:r>
          </w:p>
        </w:tc>
        <w:tc>
          <w:tcPr>
            <w:tcW w:w="184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934"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2</w:t>
            </w:r>
          </w:p>
        </w:tc>
        <w:tc>
          <w:tcPr>
            <w:tcW w:w="1501" w:type="dxa"/>
          </w:tcPr>
          <w:p w:rsidR="00392635" w:rsidRPr="00763CFC" w:rsidRDefault="00392635" w:rsidP="004167B0">
            <w:pPr>
              <w:jc w:val="center"/>
              <w:rPr>
                <w:rFonts w:ascii="Arial" w:hAnsi="Arial" w:cs="Arial"/>
                <w:sz w:val="20"/>
                <w:szCs w:val="20"/>
              </w:rPr>
            </w:pPr>
            <w:r w:rsidRPr="00763CFC">
              <w:rPr>
                <w:rFonts w:ascii="Arial" w:hAnsi="Arial" w:cs="Arial"/>
                <w:sz w:val="20"/>
                <w:szCs w:val="20"/>
              </w:rPr>
              <w:t>A</w:t>
            </w:r>
          </w:p>
        </w:tc>
      </w:tr>
      <w:tr w:rsidR="00392635" w:rsidRPr="00763CFC" w:rsidTr="00763CFC">
        <w:trPr>
          <w:trHeight w:val="246"/>
        </w:trPr>
        <w:tc>
          <w:tcPr>
            <w:tcW w:w="3952" w:type="dxa"/>
            <w:tcBorders>
              <w:bottom w:val="single" w:sz="4" w:space="0" w:color="auto"/>
            </w:tcBorders>
          </w:tcPr>
          <w:p w:rsidR="00392635" w:rsidRPr="00763CFC" w:rsidRDefault="00392635" w:rsidP="004167B0">
            <w:pPr>
              <w:jc w:val="center"/>
              <w:rPr>
                <w:rFonts w:ascii="Arial" w:hAnsi="Arial" w:cs="Arial"/>
                <w:sz w:val="20"/>
                <w:szCs w:val="20"/>
              </w:rPr>
            </w:pPr>
            <w:r w:rsidRPr="00763CFC">
              <w:rPr>
                <w:rFonts w:ascii="Arial" w:hAnsi="Arial" w:cs="Arial"/>
                <w:sz w:val="20"/>
                <w:szCs w:val="20"/>
              </w:rPr>
              <w:t>4</w:t>
            </w:r>
          </w:p>
        </w:tc>
        <w:tc>
          <w:tcPr>
            <w:tcW w:w="1841" w:type="dxa"/>
            <w:tcBorders>
              <w:bottom w:val="single" w:sz="4" w:space="0" w:color="auto"/>
            </w:tcBorders>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934" w:type="dxa"/>
            <w:tcBorders>
              <w:bottom w:val="single" w:sz="4" w:space="0" w:color="auto"/>
            </w:tcBorders>
          </w:tcPr>
          <w:p w:rsidR="00392635" w:rsidRPr="00763CFC" w:rsidRDefault="00392635" w:rsidP="004167B0">
            <w:pPr>
              <w:jc w:val="center"/>
              <w:rPr>
                <w:rFonts w:ascii="Arial" w:hAnsi="Arial" w:cs="Arial"/>
                <w:sz w:val="20"/>
                <w:szCs w:val="20"/>
              </w:rPr>
            </w:pPr>
            <w:r w:rsidRPr="00763CFC">
              <w:rPr>
                <w:rFonts w:ascii="Arial" w:hAnsi="Arial" w:cs="Arial"/>
                <w:sz w:val="20"/>
                <w:szCs w:val="20"/>
              </w:rPr>
              <w:t>2</w:t>
            </w:r>
          </w:p>
        </w:tc>
        <w:tc>
          <w:tcPr>
            <w:tcW w:w="1501" w:type="dxa"/>
            <w:tcBorders>
              <w:bottom w:val="single" w:sz="4" w:space="0" w:color="auto"/>
            </w:tcBorders>
          </w:tcPr>
          <w:p w:rsidR="00392635" w:rsidRPr="00763CFC" w:rsidRDefault="00392635" w:rsidP="004167B0">
            <w:pPr>
              <w:jc w:val="center"/>
              <w:rPr>
                <w:rFonts w:ascii="Arial" w:hAnsi="Arial" w:cs="Arial"/>
                <w:sz w:val="20"/>
                <w:szCs w:val="20"/>
              </w:rPr>
            </w:pPr>
            <w:r w:rsidRPr="00763CFC">
              <w:rPr>
                <w:rFonts w:ascii="Arial" w:hAnsi="Arial" w:cs="Arial"/>
                <w:sz w:val="20"/>
                <w:szCs w:val="20"/>
              </w:rPr>
              <w:t>A</w:t>
            </w:r>
          </w:p>
        </w:tc>
      </w:tr>
      <w:tr w:rsidR="00763CFC" w:rsidRPr="00763CFC" w:rsidTr="00763CFC">
        <w:trPr>
          <w:trHeight w:val="24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6</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3</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r w:rsidR="00763CFC" w:rsidRPr="00763CFC" w:rsidTr="00763CFC">
        <w:trPr>
          <w:trHeight w:val="23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6</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6</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3</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r w:rsidR="00763CFC" w:rsidRPr="00763CFC" w:rsidTr="00763CFC">
        <w:trPr>
          <w:trHeight w:val="24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7</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7</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4</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r w:rsidR="00763CFC" w:rsidRPr="00763CFC" w:rsidTr="00763CFC">
        <w:trPr>
          <w:trHeight w:val="24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8</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7</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4</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r w:rsidR="00763CFC" w:rsidRPr="00763CFC" w:rsidTr="00763CFC">
        <w:trPr>
          <w:trHeight w:val="24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9</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8</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r w:rsidR="00763CFC" w:rsidRPr="00763CFC" w:rsidTr="00763CFC">
        <w:trPr>
          <w:trHeight w:val="24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10</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8</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5</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r w:rsidR="00763CFC" w:rsidRPr="00763CFC" w:rsidTr="00763CFC">
        <w:trPr>
          <w:trHeight w:val="24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11</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9</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6</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r w:rsidR="00763CFC" w:rsidRPr="00763CFC" w:rsidTr="00763CFC">
        <w:trPr>
          <w:trHeight w:val="246"/>
        </w:trPr>
        <w:tc>
          <w:tcPr>
            <w:tcW w:w="3952"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12</w:t>
            </w:r>
          </w:p>
        </w:tc>
        <w:tc>
          <w:tcPr>
            <w:tcW w:w="184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9</w:t>
            </w:r>
          </w:p>
        </w:tc>
        <w:tc>
          <w:tcPr>
            <w:tcW w:w="1934"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6</w:t>
            </w:r>
          </w:p>
        </w:tc>
        <w:tc>
          <w:tcPr>
            <w:tcW w:w="1501" w:type="dxa"/>
            <w:shd w:val="clear" w:color="auto" w:fill="C6D9F1" w:themeFill="text2" w:themeFillTint="33"/>
          </w:tcPr>
          <w:p w:rsidR="00392635" w:rsidRPr="00763CFC" w:rsidRDefault="00392635" w:rsidP="004167B0">
            <w:pPr>
              <w:jc w:val="center"/>
              <w:rPr>
                <w:rFonts w:ascii="Arial" w:hAnsi="Arial" w:cs="Arial"/>
                <w:sz w:val="20"/>
                <w:szCs w:val="20"/>
              </w:rPr>
            </w:pPr>
            <w:r w:rsidRPr="00763CFC">
              <w:rPr>
                <w:rFonts w:ascii="Arial" w:hAnsi="Arial" w:cs="Arial"/>
                <w:sz w:val="20"/>
                <w:szCs w:val="20"/>
              </w:rPr>
              <w:t>B</w:t>
            </w:r>
          </w:p>
        </w:tc>
      </w:tr>
    </w:tbl>
    <w:p w:rsidR="00392635" w:rsidRPr="00392635" w:rsidRDefault="00392635" w:rsidP="00392635">
      <w:pPr>
        <w:rPr>
          <w:rFonts w:ascii="Arial" w:hAnsi="Arial" w:cs="Arial"/>
          <w:sz w:val="24"/>
          <w:szCs w:val="24"/>
        </w:rPr>
      </w:pPr>
    </w:p>
    <w:p w:rsidR="00392635" w:rsidRPr="00392635" w:rsidRDefault="00392635" w:rsidP="00392635">
      <w:pPr>
        <w:rPr>
          <w:rFonts w:ascii="Arial" w:hAnsi="Arial" w:cs="Arial"/>
          <w:b/>
          <w:sz w:val="24"/>
          <w:szCs w:val="24"/>
        </w:rPr>
      </w:pPr>
      <w:r w:rsidRPr="00392635">
        <w:rPr>
          <w:rFonts w:ascii="Arial" w:hAnsi="Arial" w:cs="Arial"/>
          <w:b/>
          <w:sz w:val="24"/>
          <w:szCs w:val="24"/>
        </w:rPr>
        <w:t>Escalation criteria</w:t>
      </w:r>
    </w:p>
    <w:p w:rsidR="00392635" w:rsidRPr="00392635" w:rsidRDefault="00392635" w:rsidP="00392635">
      <w:pPr>
        <w:rPr>
          <w:rFonts w:ascii="Arial" w:hAnsi="Arial" w:cs="Arial"/>
          <w:sz w:val="24"/>
          <w:szCs w:val="24"/>
        </w:rPr>
      </w:pPr>
      <w:r w:rsidRPr="00392635">
        <w:rPr>
          <w:rFonts w:ascii="Arial" w:hAnsi="Arial" w:cs="Arial"/>
          <w:sz w:val="24"/>
          <w:szCs w:val="24"/>
        </w:rPr>
        <w:t xml:space="preserve">It is essential that the safety of our patients and correct staffing in accordance with the acuity of the ward is maintained at all times, whilst ensuring our patients receive the correct care in the correct setting. </w:t>
      </w:r>
    </w:p>
    <w:p w:rsidR="00392635" w:rsidRPr="00392635" w:rsidRDefault="00392635" w:rsidP="00392635">
      <w:pPr>
        <w:rPr>
          <w:rFonts w:ascii="Arial" w:hAnsi="Arial" w:cs="Arial"/>
          <w:sz w:val="24"/>
          <w:szCs w:val="24"/>
        </w:rPr>
      </w:pPr>
      <w:r w:rsidRPr="00392635">
        <w:rPr>
          <w:rFonts w:ascii="Arial" w:hAnsi="Arial" w:cs="Arial"/>
          <w:sz w:val="24"/>
          <w:szCs w:val="24"/>
        </w:rPr>
        <w:t>In order to maintain the appropriate levels and experience of staff, may require escalation to the appropriate personnel, to authorise the use of extra Registered Nurses and in cases registered nurse trained in NIV from outside agencies.</w:t>
      </w:r>
    </w:p>
    <w:p w:rsidR="00392635" w:rsidRPr="00392635" w:rsidRDefault="00392635" w:rsidP="00392635">
      <w:pPr>
        <w:rPr>
          <w:rFonts w:ascii="Arial" w:hAnsi="Arial" w:cs="Arial"/>
          <w:b/>
          <w:sz w:val="24"/>
          <w:szCs w:val="24"/>
        </w:rPr>
      </w:pPr>
      <w:r w:rsidRPr="00392635">
        <w:rPr>
          <w:rFonts w:ascii="Arial" w:hAnsi="Arial" w:cs="Arial"/>
          <w:b/>
          <w:sz w:val="24"/>
          <w:szCs w:val="24"/>
        </w:rPr>
        <w:t>Action A</w:t>
      </w:r>
    </w:p>
    <w:p w:rsidR="00392635" w:rsidRPr="00392635" w:rsidRDefault="00392635" w:rsidP="00392635">
      <w:pPr>
        <w:rPr>
          <w:rFonts w:ascii="Arial" w:hAnsi="Arial" w:cs="Arial"/>
          <w:sz w:val="24"/>
          <w:szCs w:val="24"/>
        </w:rPr>
      </w:pPr>
      <w:r w:rsidRPr="00392635">
        <w:rPr>
          <w:rFonts w:ascii="Arial" w:hAnsi="Arial" w:cs="Arial"/>
          <w:sz w:val="24"/>
          <w:szCs w:val="24"/>
        </w:rPr>
        <w:t xml:space="preserve">No action would be required other than ensuring than registered nurses in both bays are NIV trained and competent. </w:t>
      </w:r>
    </w:p>
    <w:p w:rsidR="00392635" w:rsidRPr="00392635" w:rsidRDefault="00392635" w:rsidP="00763CFC">
      <w:pPr>
        <w:shd w:val="clear" w:color="auto" w:fill="C6D9F1" w:themeFill="text2" w:themeFillTint="33"/>
        <w:rPr>
          <w:rFonts w:ascii="Arial" w:hAnsi="Arial" w:cs="Arial"/>
          <w:b/>
          <w:sz w:val="24"/>
          <w:szCs w:val="24"/>
        </w:rPr>
      </w:pPr>
      <w:r w:rsidRPr="00763CFC">
        <w:rPr>
          <w:rFonts w:ascii="Arial" w:hAnsi="Arial" w:cs="Arial"/>
          <w:b/>
          <w:sz w:val="24"/>
          <w:szCs w:val="24"/>
        </w:rPr>
        <w:t>Action B</w:t>
      </w:r>
    </w:p>
    <w:p w:rsidR="00392635" w:rsidRPr="00392635" w:rsidRDefault="00392635" w:rsidP="00392635">
      <w:pPr>
        <w:rPr>
          <w:rFonts w:ascii="Arial" w:hAnsi="Arial" w:cs="Arial"/>
          <w:sz w:val="24"/>
          <w:szCs w:val="24"/>
        </w:rPr>
      </w:pPr>
      <w:r w:rsidRPr="00392635">
        <w:rPr>
          <w:rFonts w:ascii="Arial" w:hAnsi="Arial" w:cs="Arial"/>
          <w:sz w:val="24"/>
          <w:szCs w:val="24"/>
        </w:rPr>
        <w:t>Extra registered nurse(s) (with or without NIV experience dependent on numbers of NIV trained staff on duty), will be required. Please note in all cases, utilising Trust staff should always be the first line, before going to agency.</w:t>
      </w:r>
    </w:p>
    <w:p w:rsidR="00392635" w:rsidRPr="00392635" w:rsidRDefault="00763CFC" w:rsidP="00392635">
      <w:pPr>
        <w:rPr>
          <w:rFonts w:ascii="Arial" w:hAnsi="Arial" w:cs="Arial"/>
          <w:sz w:val="24"/>
          <w:szCs w:val="24"/>
        </w:rPr>
      </w:pPr>
      <w:r>
        <w:rPr>
          <w:rFonts w:ascii="Arial" w:hAnsi="Arial" w:cs="Arial"/>
          <w:sz w:val="24"/>
          <w:szCs w:val="24"/>
        </w:rPr>
        <w:t>E</w:t>
      </w:r>
      <w:r w:rsidR="00392635" w:rsidRPr="00392635">
        <w:rPr>
          <w:rFonts w:ascii="Arial" w:hAnsi="Arial" w:cs="Arial"/>
          <w:sz w:val="24"/>
          <w:szCs w:val="24"/>
        </w:rPr>
        <w:t>scalate to the ward leader, who will contact Matron or duty nurse manager, to assess if there is flexibility within the Trust to allocate a registered nurse from another area, in the event that this isn`t an option, escalate to silver command to sign off to agency.</w:t>
      </w:r>
    </w:p>
    <w:p w:rsidR="003A1A1C" w:rsidRPr="00763CFC" w:rsidRDefault="00392635">
      <w:pPr>
        <w:rPr>
          <w:rFonts w:ascii="Arial" w:hAnsi="Arial" w:cs="Arial"/>
          <w:sz w:val="24"/>
          <w:szCs w:val="24"/>
        </w:rPr>
      </w:pPr>
      <w:r w:rsidRPr="00392635">
        <w:rPr>
          <w:rFonts w:ascii="Arial" w:hAnsi="Arial" w:cs="Arial"/>
          <w:sz w:val="24"/>
          <w:szCs w:val="24"/>
        </w:rPr>
        <w:t>In the event that the ward leader is unavailable, go straight to Matron or duty nurse manager, who will then either re-allocate or escalate to silver/gold command.</w:t>
      </w:r>
    </w:p>
    <w:sectPr w:rsidR="003A1A1C" w:rsidRPr="00763CFC" w:rsidSect="00392635">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0027"/>
    <w:multiLevelType w:val="hybridMultilevel"/>
    <w:tmpl w:val="274E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35"/>
    <w:rsid w:val="000B4F4A"/>
    <w:rsid w:val="002D61F5"/>
    <w:rsid w:val="00392635"/>
    <w:rsid w:val="00763CFC"/>
    <w:rsid w:val="00BE1526"/>
    <w:rsid w:val="00CD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2019-06-10T08:09:00Z</dcterms:created>
  <dcterms:modified xsi:type="dcterms:W3CDTF">2019-06-10T08:09:00Z</dcterms:modified>
</cp:coreProperties>
</file>