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731F" w14:textId="7038D8A5" w:rsidR="00C32F55" w:rsidRPr="00F82F1F" w:rsidRDefault="00C32F55" w:rsidP="00FC17A2">
      <w:pPr>
        <w:ind w:left="284" w:right="253"/>
        <w:rPr>
          <w:rFonts w:ascii="Arial" w:hAnsi="Arial" w:cs="Arial"/>
          <w:b/>
          <w:sz w:val="24"/>
          <w:szCs w:val="24"/>
        </w:rPr>
      </w:pPr>
      <w:r w:rsidRPr="00F82F1F">
        <w:rPr>
          <w:noProof/>
          <w:sz w:val="24"/>
          <w:szCs w:val="24"/>
        </w:rPr>
        <w:drawing>
          <wp:anchor distT="0" distB="0" distL="114300" distR="114300" simplePos="0" relativeHeight="251691008" behindDoc="0" locked="0" layoutInCell="1" allowOverlap="1" wp14:anchorId="5861DA7D" wp14:editId="36C42081">
            <wp:simplePos x="0" y="0"/>
            <wp:positionH relativeFrom="column">
              <wp:posOffset>8377555</wp:posOffset>
            </wp:positionH>
            <wp:positionV relativeFrom="page">
              <wp:posOffset>120650</wp:posOffset>
            </wp:positionV>
            <wp:extent cx="1852930" cy="8324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93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2F1F">
        <w:rPr>
          <w:rFonts w:ascii="Arial" w:hAnsi="Arial" w:cs="Arial"/>
          <w:b/>
          <w:sz w:val="24"/>
          <w:szCs w:val="24"/>
        </w:rPr>
        <w:t>Workforce Race Equality Standard (WRES) Report 2023-24 including Medical Workforce Race Equality Standard and Model Employer update</w:t>
      </w:r>
    </w:p>
    <w:p w14:paraId="3ADFE930" w14:textId="0AA2770B" w:rsidR="00C32F55" w:rsidRDefault="00C32F55" w:rsidP="00FC17A2">
      <w:pPr>
        <w:ind w:left="284" w:right="253"/>
        <w:rPr>
          <w:rStyle w:val="A7"/>
          <w:rFonts w:ascii="Arial" w:hAnsi="Arial" w:cs="Arial"/>
          <w:bCs/>
          <w:sz w:val="22"/>
        </w:rPr>
      </w:pPr>
      <w:bookmarkStart w:id="0" w:name="_Hlk144719229"/>
      <w:r>
        <w:rPr>
          <w:rStyle w:val="A7"/>
          <w:rFonts w:ascii="Arial" w:hAnsi="Arial" w:cs="Arial"/>
          <w:b/>
          <w:sz w:val="22"/>
        </w:rPr>
        <w:t>Introduction</w:t>
      </w:r>
    </w:p>
    <w:p w14:paraId="17E378B3" w14:textId="5A080E81" w:rsidR="00C32F55" w:rsidRDefault="00C32F55" w:rsidP="00FC17A2">
      <w:pPr>
        <w:ind w:left="284" w:right="253"/>
        <w:rPr>
          <w:rFonts w:ascii="Arial" w:hAnsi="Arial" w:cs="Arial"/>
        </w:rPr>
      </w:pPr>
      <w:r w:rsidRPr="005D7EB8">
        <w:rPr>
          <w:rFonts w:ascii="Arial" w:hAnsi="Arial" w:cs="Arial"/>
        </w:rPr>
        <w:t xml:space="preserve">The Workforce Race Equality Standard (WRES) is a set of </w:t>
      </w:r>
      <w:r w:rsidR="00967779">
        <w:rPr>
          <w:rFonts w:ascii="Arial" w:hAnsi="Arial" w:cs="Arial"/>
        </w:rPr>
        <w:t>nine</w:t>
      </w:r>
      <w:r w:rsidRPr="005D7EB8">
        <w:rPr>
          <w:rFonts w:ascii="Arial" w:hAnsi="Arial" w:cs="Arial"/>
        </w:rPr>
        <w:t xml:space="preserve"> specific measures (metrics) which enable NHS organisations to </w:t>
      </w:r>
      <w:r w:rsidR="00967779">
        <w:rPr>
          <w:rFonts w:ascii="Arial" w:hAnsi="Arial" w:cs="Arial"/>
        </w:rPr>
        <w:t>review</w:t>
      </w:r>
      <w:r w:rsidRPr="005D7EB8">
        <w:rPr>
          <w:rFonts w:ascii="Arial" w:hAnsi="Arial" w:cs="Arial"/>
        </w:rPr>
        <w:t xml:space="preserve"> the workplace and career experiences of our colleagues from Ethnic Minority backgrounds </w:t>
      </w:r>
      <w:r w:rsidR="00967779">
        <w:rPr>
          <w:rFonts w:ascii="Arial" w:hAnsi="Arial" w:cs="Arial"/>
        </w:rPr>
        <w:t>against</w:t>
      </w:r>
      <w:r w:rsidRPr="005D7EB8">
        <w:rPr>
          <w:rFonts w:ascii="Arial" w:hAnsi="Arial" w:cs="Arial"/>
        </w:rPr>
        <w:t xml:space="preserve"> those who are White British. We use the metrics data to review our performance and to </w:t>
      </w:r>
      <w:r>
        <w:rPr>
          <w:rFonts w:ascii="Arial" w:hAnsi="Arial" w:cs="Arial"/>
        </w:rPr>
        <w:t>identify any disparity in the experiences of colleagues and then use the findings to inform the actions we will take to reduce disparity. Our actions are contained within this report (page</w:t>
      </w:r>
      <w:r w:rsidR="00D552BE">
        <w:rPr>
          <w:rFonts w:ascii="Arial" w:hAnsi="Arial" w:cs="Arial"/>
        </w:rPr>
        <w:t xml:space="preserve"> </w:t>
      </w:r>
      <w:r w:rsidR="00133C49">
        <w:rPr>
          <w:rFonts w:ascii="Arial" w:hAnsi="Arial" w:cs="Arial"/>
        </w:rPr>
        <w:t>5</w:t>
      </w:r>
      <w:r>
        <w:rPr>
          <w:rFonts w:ascii="Arial" w:hAnsi="Arial" w:cs="Arial"/>
        </w:rPr>
        <w:t>)</w:t>
      </w:r>
      <w:r w:rsidRPr="005D7EB8">
        <w:rPr>
          <w:rFonts w:ascii="Arial" w:hAnsi="Arial" w:cs="Arial"/>
        </w:rPr>
        <w:t xml:space="preserve">. Year on year comparison enables us to </w:t>
      </w:r>
      <w:r w:rsidR="00133C49">
        <w:rPr>
          <w:rFonts w:ascii="Arial" w:hAnsi="Arial" w:cs="Arial"/>
        </w:rPr>
        <w:t>show the</w:t>
      </w:r>
      <w:r w:rsidRPr="005D7EB8">
        <w:rPr>
          <w:rFonts w:ascii="Arial" w:hAnsi="Arial" w:cs="Arial"/>
        </w:rPr>
        <w:t xml:space="preserve"> </w:t>
      </w:r>
      <w:r w:rsidR="00133C49">
        <w:rPr>
          <w:rFonts w:ascii="Arial" w:hAnsi="Arial" w:cs="Arial"/>
        </w:rPr>
        <w:t>change</w:t>
      </w:r>
      <w:r w:rsidRPr="005D7EB8">
        <w:rPr>
          <w:rFonts w:ascii="Arial" w:hAnsi="Arial" w:cs="Arial"/>
        </w:rPr>
        <w:t xml:space="preserve"> against the indicators.</w:t>
      </w:r>
    </w:p>
    <w:p w14:paraId="6A823536" w14:textId="7E0DABF2" w:rsidR="00337EC4" w:rsidRDefault="00337EC4" w:rsidP="00FC17A2">
      <w:pPr>
        <w:ind w:left="284" w:right="253"/>
        <w:rPr>
          <w:rFonts w:ascii="Arial" w:hAnsi="Arial" w:cs="Arial"/>
        </w:rPr>
      </w:pPr>
      <w:r>
        <w:rPr>
          <w:rFonts w:ascii="Arial" w:hAnsi="Arial" w:cs="Arial"/>
        </w:rPr>
        <w:t xml:space="preserve">This year, NHS Trusts were asked to report data on their </w:t>
      </w:r>
      <w:proofErr w:type="gramStart"/>
      <w:r>
        <w:rPr>
          <w:rFonts w:ascii="Arial" w:hAnsi="Arial" w:cs="Arial"/>
        </w:rPr>
        <w:t>Medical</w:t>
      </w:r>
      <w:proofErr w:type="gramEnd"/>
      <w:r>
        <w:rPr>
          <w:rFonts w:ascii="Arial" w:hAnsi="Arial" w:cs="Arial"/>
        </w:rPr>
        <w:t xml:space="preserve"> workforce in addition to the overall workforce data and the specific metrics are detailed on page </w:t>
      </w:r>
      <w:r w:rsidR="007036B1">
        <w:rPr>
          <w:rFonts w:ascii="Arial" w:hAnsi="Arial" w:cs="Arial"/>
        </w:rPr>
        <w:t>3-4</w:t>
      </w:r>
      <w:r>
        <w:rPr>
          <w:rFonts w:ascii="Arial" w:hAnsi="Arial" w:cs="Arial"/>
        </w:rPr>
        <w:t xml:space="preserve"> of this report.</w:t>
      </w:r>
      <w:r w:rsidR="00133C49">
        <w:rPr>
          <w:rFonts w:ascii="Arial" w:hAnsi="Arial" w:cs="Arial"/>
        </w:rPr>
        <w:t xml:space="preserve"> Narrative is absent from the report due to this being the first time we have collected this data. </w:t>
      </w:r>
    </w:p>
    <w:p w14:paraId="53116803" w14:textId="19A89D0A" w:rsidR="00337EC4" w:rsidRPr="005D7EB8" w:rsidRDefault="001B7FB7" w:rsidP="00FC17A2">
      <w:pPr>
        <w:ind w:left="284" w:right="253"/>
        <w:rPr>
          <w:rFonts w:ascii="Arial" w:hAnsi="Arial" w:cs="Arial"/>
        </w:rPr>
      </w:pPr>
      <w:r>
        <w:rPr>
          <w:rFonts w:ascii="Arial" w:hAnsi="Arial" w:cs="Arial"/>
        </w:rPr>
        <w:t>W</w:t>
      </w:r>
      <w:r w:rsidR="00133C49">
        <w:rPr>
          <w:rFonts w:ascii="Arial" w:hAnsi="Arial" w:cs="Arial"/>
        </w:rPr>
        <w:t>e have included a summary of our Model Employer data (</w:t>
      </w:r>
      <w:r>
        <w:rPr>
          <w:rFonts w:ascii="Arial" w:hAnsi="Arial" w:cs="Arial"/>
        </w:rPr>
        <w:t>Appendix 1</w:t>
      </w:r>
      <w:r w:rsidR="00133C49">
        <w:rPr>
          <w:rFonts w:ascii="Arial" w:hAnsi="Arial" w:cs="Arial"/>
        </w:rPr>
        <w:t>, pages 6-7).</w:t>
      </w:r>
      <w:r>
        <w:rPr>
          <w:rFonts w:ascii="Arial" w:hAnsi="Arial" w:cs="Arial"/>
        </w:rPr>
        <w:t xml:space="preserve"> </w:t>
      </w:r>
      <w:r w:rsidR="00CB2600">
        <w:rPr>
          <w:rFonts w:ascii="Arial" w:hAnsi="Arial" w:cs="Arial"/>
        </w:rPr>
        <w:t xml:space="preserve">The Model Employer (2019) from the WRES team at NHS England outlined for Sherwood the aspirational goals to be achieved over a 10-year period to increase BME Senior Leadership in the Trust; the data provided herein shows the progress we are making to achieving the specific goals set out for us in 2019. </w:t>
      </w:r>
    </w:p>
    <w:p w14:paraId="0C9A24F3" w14:textId="07ABDED8" w:rsidR="00C32F55" w:rsidRPr="005D7EB8" w:rsidRDefault="00C32F55" w:rsidP="00FC17A2">
      <w:pPr>
        <w:ind w:left="284" w:right="253"/>
        <w:rPr>
          <w:rFonts w:ascii="Arial" w:hAnsi="Arial" w:cs="Arial"/>
        </w:rPr>
      </w:pPr>
      <w:r w:rsidRPr="005D7EB8">
        <w:rPr>
          <w:rFonts w:ascii="Arial" w:hAnsi="Arial" w:cs="Arial"/>
        </w:rPr>
        <w:t xml:space="preserve">The WRES is important, because research shows that a motivated, included and valued workforce </w:t>
      </w:r>
      <w:r w:rsidR="00967779">
        <w:rPr>
          <w:rFonts w:ascii="Arial" w:hAnsi="Arial" w:cs="Arial"/>
        </w:rPr>
        <w:t xml:space="preserve">will support us in the </w:t>
      </w:r>
      <w:r w:rsidRPr="005D7EB8">
        <w:rPr>
          <w:rFonts w:ascii="Arial" w:hAnsi="Arial" w:cs="Arial"/>
        </w:rPr>
        <w:t>deliver</w:t>
      </w:r>
      <w:r w:rsidR="00967779">
        <w:rPr>
          <w:rFonts w:ascii="Arial" w:hAnsi="Arial" w:cs="Arial"/>
        </w:rPr>
        <w:t>y of</w:t>
      </w:r>
      <w:r w:rsidRPr="005D7EB8">
        <w:rPr>
          <w:rFonts w:ascii="Arial" w:hAnsi="Arial" w:cs="Arial"/>
        </w:rPr>
        <w:t xml:space="preserve"> </w:t>
      </w:r>
      <w:proofErr w:type="gramStart"/>
      <w:r w:rsidRPr="005D7EB8">
        <w:rPr>
          <w:rFonts w:ascii="Arial" w:hAnsi="Arial" w:cs="Arial"/>
        </w:rPr>
        <w:t>high quality</w:t>
      </w:r>
      <w:proofErr w:type="gramEnd"/>
      <w:r w:rsidRPr="005D7EB8">
        <w:rPr>
          <w:rFonts w:ascii="Arial" w:hAnsi="Arial" w:cs="Arial"/>
        </w:rPr>
        <w:t xml:space="preserve"> patient care</w:t>
      </w:r>
      <w:r w:rsidR="00967779">
        <w:rPr>
          <w:rFonts w:ascii="Arial" w:hAnsi="Arial" w:cs="Arial"/>
        </w:rPr>
        <w:t xml:space="preserve"> and will contribute to </w:t>
      </w:r>
      <w:r w:rsidRPr="005D7EB8">
        <w:rPr>
          <w:rFonts w:ascii="Arial" w:hAnsi="Arial" w:cs="Arial"/>
        </w:rPr>
        <w:t>increased patient satisfaction and patient safety.</w:t>
      </w:r>
    </w:p>
    <w:p w14:paraId="19E7F764" w14:textId="3435C460" w:rsidR="00CB2600" w:rsidRPr="00CB2600" w:rsidRDefault="00CB2600" w:rsidP="00FC17A2">
      <w:pPr>
        <w:ind w:left="284" w:right="253"/>
        <w:rPr>
          <w:rFonts w:ascii="Arial" w:hAnsi="Arial" w:cs="Arial"/>
          <w:b/>
          <w:bCs/>
        </w:rPr>
      </w:pPr>
      <w:r>
        <w:rPr>
          <w:rFonts w:ascii="Arial" w:hAnsi="Arial" w:cs="Arial"/>
          <w:b/>
          <w:bCs/>
        </w:rPr>
        <w:t xml:space="preserve">Our </w:t>
      </w:r>
      <w:r w:rsidR="00967779">
        <w:rPr>
          <w:rFonts w:ascii="Arial" w:hAnsi="Arial" w:cs="Arial"/>
          <w:b/>
          <w:bCs/>
        </w:rPr>
        <w:t>c</w:t>
      </w:r>
      <w:r>
        <w:rPr>
          <w:rFonts w:ascii="Arial" w:hAnsi="Arial" w:cs="Arial"/>
          <w:b/>
          <w:bCs/>
        </w:rPr>
        <w:t>ommunity</w:t>
      </w:r>
    </w:p>
    <w:p w14:paraId="56424FC1" w14:textId="19FADA8B" w:rsidR="00C32F55" w:rsidRPr="005D7EB8" w:rsidRDefault="00CB2600" w:rsidP="00FC17A2">
      <w:pPr>
        <w:ind w:left="284" w:right="253"/>
        <w:rPr>
          <w:rFonts w:ascii="Arial" w:hAnsi="Arial" w:cs="Arial"/>
        </w:rPr>
      </w:pPr>
      <w:r>
        <w:rPr>
          <w:rFonts w:ascii="Arial" w:hAnsi="Arial" w:cs="Arial"/>
        </w:rPr>
        <w:t xml:space="preserve">Since our last WRES report, </w:t>
      </w:r>
      <w:r w:rsidR="00C32F55" w:rsidRPr="005D7EB8">
        <w:rPr>
          <w:rFonts w:ascii="Arial" w:hAnsi="Arial" w:cs="Arial"/>
        </w:rPr>
        <w:t>the 20</w:t>
      </w:r>
      <w:r>
        <w:rPr>
          <w:rFonts w:ascii="Arial" w:hAnsi="Arial" w:cs="Arial"/>
        </w:rPr>
        <w:t>2</w:t>
      </w:r>
      <w:r w:rsidR="00C32F55" w:rsidRPr="005D7EB8">
        <w:rPr>
          <w:rFonts w:ascii="Arial" w:hAnsi="Arial" w:cs="Arial"/>
        </w:rPr>
        <w:t>1 Census</w:t>
      </w:r>
      <w:r>
        <w:rPr>
          <w:rFonts w:ascii="Arial" w:hAnsi="Arial" w:cs="Arial"/>
        </w:rPr>
        <w:t xml:space="preserve"> data for Ethnicity for our local populations has been updated. The Census data shows that across the populations of Mansfield, Ashfield and Newark and Sherwood</w:t>
      </w:r>
      <w:r w:rsidR="00C32F55" w:rsidRPr="005D7EB8">
        <w:rPr>
          <w:rFonts w:ascii="Arial" w:hAnsi="Arial" w:cs="Arial"/>
        </w:rPr>
        <w:t xml:space="preserve">, just </w:t>
      </w:r>
      <w:r>
        <w:rPr>
          <w:rFonts w:ascii="Arial" w:hAnsi="Arial" w:cs="Arial"/>
        </w:rPr>
        <w:t>5.5%</w:t>
      </w:r>
      <w:r w:rsidR="00C32F55" w:rsidRPr="005D7EB8">
        <w:rPr>
          <w:rFonts w:ascii="Arial" w:hAnsi="Arial" w:cs="Arial"/>
        </w:rPr>
        <w:t xml:space="preserve"> of our </w:t>
      </w:r>
      <w:r w:rsidR="00202300">
        <w:rPr>
          <w:rFonts w:ascii="Arial" w:hAnsi="Arial" w:cs="Arial"/>
        </w:rPr>
        <w:t xml:space="preserve">citizens </w:t>
      </w:r>
      <w:r w:rsidR="00C32F55" w:rsidRPr="005D7EB8">
        <w:rPr>
          <w:rFonts w:ascii="Arial" w:hAnsi="Arial" w:cs="Arial"/>
        </w:rPr>
        <w:t>identified as having an Ethnic Minority background</w:t>
      </w:r>
      <w:r w:rsidR="00202300">
        <w:rPr>
          <w:rFonts w:ascii="Arial" w:hAnsi="Arial" w:cs="Arial"/>
        </w:rPr>
        <w:t>. Here at</w:t>
      </w:r>
      <w:r w:rsidR="00C32F55" w:rsidRPr="005D7EB8">
        <w:rPr>
          <w:rFonts w:ascii="Arial" w:hAnsi="Arial" w:cs="Arial"/>
        </w:rPr>
        <w:t xml:space="preserve"> Sherwood Forest Hospitals, </w:t>
      </w:r>
      <w:r w:rsidR="00202300">
        <w:rPr>
          <w:rFonts w:ascii="Arial" w:hAnsi="Arial" w:cs="Arial"/>
        </w:rPr>
        <w:t xml:space="preserve">just over </w:t>
      </w:r>
      <w:r w:rsidR="00C32F55" w:rsidRPr="005D7EB8">
        <w:rPr>
          <w:rFonts w:ascii="Arial" w:hAnsi="Arial" w:cs="Arial"/>
        </w:rPr>
        <w:t>1</w:t>
      </w:r>
      <w:r w:rsidR="00202300">
        <w:rPr>
          <w:rFonts w:ascii="Arial" w:hAnsi="Arial" w:cs="Arial"/>
        </w:rPr>
        <w:t>6</w:t>
      </w:r>
      <w:r w:rsidR="00C32F55" w:rsidRPr="005D7EB8">
        <w:rPr>
          <w:rFonts w:ascii="Arial" w:hAnsi="Arial" w:cs="Arial"/>
        </w:rPr>
        <w:t xml:space="preserve">% of </w:t>
      </w:r>
      <w:r w:rsidR="00202300">
        <w:rPr>
          <w:rFonts w:ascii="Arial" w:hAnsi="Arial" w:cs="Arial"/>
        </w:rPr>
        <w:t xml:space="preserve">our </w:t>
      </w:r>
      <w:r w:rsidR="00C32F55" w:rsidRPr="005D7EB8">
        <w:rPr>
          <w:rFonts w:ascii="Arial" w:hAnsi="Arial" w:cs="Arial"/>
        </w:rPr>
        <w:t>colleagues are from an Ethnic minority background</w:t>
      </w:r>
      <w:r w:rsidR="00202300">
        <w:rPr>
          <w:rFonts w:ascii="Arial" w:hAnsi="Arial" w:cs="Arial"/>
        </w:rPr>
        <w:t xml:space="preserve"> demonstrating that we continue to have far greater Ethnic diversity in our workforce than in our local </w:t>
      </w:r>
      <w:r w:rsidR="00C32F55" w:rsidRPr="005D7EB8">
        <w:rPr>
          <w:rFonts w:ascii="Arial" w:hAnsi="Arial" w:cs="Arial"/>
        </w:rPr>
        <w:t xml:space="preserve">communities. </w:t>
      </w:r>
    </w:p>
    <w:bookmarkEnd w:id="0"/>
    <w:p w14:paraId="1562D733" w14:textId="77777777" w:rsidR="00C32F55" w:rsidRPr="00C32F55" w:rsidRDefault="00C32F55" w:rsidP="00C32F55"/>
    <w:tbl>
      <w:tblPr>
        <w:tblStyle w:val="TableGrid"/>
        <w:tblpPr w:leftFromText="180" w:rightFromText="180" w:vertAnchor="page" w:horzAnchor="margin" w:tblpX="279" w:tblpY="2116"/>
        <w:tblW w:w="15163" w:type="dxa"/>
        <w:tblLook w:val="04A0" w:firstRow="1" w:lastRow="0" w:firstColumn="1" w:lastColumn="0" w:noHBand="0" w:noVBand="1"/>
      </w:tblPr>
      <w:tblGrid>
        <w:gridCol w:w="5382"/>
        <w:gridCol w:w="992"/>
        <w:gridCol w:w="992"/>
        <w:gridCol w:w="7797"/>
      </w:tblGrid>
      <w:tr w:rsidR="00FC17A2" w:rsidRPr="00D65635" w14:paraId="09E1B171" w14:textId="77777777" w:rsidTr="007036B1">
        <w:trPr>
          <w:trHeight w:val="250"/>
        </w:trPr>
        <w:tc>
          <w:tcPr>
            <w:tcW w:w="5382" w:type="dxa"/>
          </w:tcPr>
          <w:p w14:paraId="598C237B" w14:textId="075AB51E" w:rsidR="00FC17A2" w:rsidRPr="00A46B2C" w:rsidRDefault="00FC17A2" w:rsidP="00FC17A2">
            <w:pPr>
              <w:pStyle w:val="Pa0"/>
              <w:jc w:val="center"/>
              <w:rPr>
                <w:rStyle w:val="A7"/>
                <w:rFonts w:ascii="Arial" w:hAnsi="Arial" w:cs="Arial"/>
                <w:b/>
                <w:sz w:val="22"/>
              </w:rPr>
            </w:pPr>
            <w:r w:rsidRPr="00A46B2C">
              <w:rPr>
                <w:rStyle w:val="A7"/>
                <w:rFonts w:ascii="Arial" w:hAnsi="Arial" w:cs="Arial"/>
                <w:b/>
                <w:sz w:val="22"/>
              </w:rPr>
              <w:lastRenderedPageBreak/>
              <w:t>WRES Indicator</w:t>
            </w:r>
          </w:p>
        </w:tc>
        <w:tc>
          <w:tcPr>
            <w:tcW w:w="992" w:type="dxa"/>
          </w:tcPr>
          <w:p w14:paraId="02AE612B" w14:textId="73ED39F0" w:rsidR="00FC17A2" w:rsidRPr="00F422C3" w:rsidRDefault="00FC17A2" w:rsidP="00FC17A2">
            <w:pPr>
              <w:jc w:val="center"/>
              <w:rPr>
                <w:rFonts w:ascii="Arial" w:hAnsi="Arial" w:cs="Arial"/>
                <w:noProof/>
                <w:sz w:val="18"/>
                <w:szCs w:val="18"/>
                <w:lang w:eastAsia="en-GB"/>
              </w:rPr>
            </w:pPr>
            <w:r>
              <w:rPr>
                <w:rFonts w:ascii="Arial" w:hAnsi="Arial" w:cs="Arial"/>
                <w:b/>
                <w:szCs w:val="18"/>
              </w:rPr>
              <w:t>2022</w:t>
            </w:r>
          </w:p>
        </w:tc>
        <w:tc>
          <w:tcPr>
            <w:tcW w:w="992" w:type="dxa"/>
          </w:tcPr>
          <w:p w14:paraId="212AA94D" w14:textId="40E36183" w:rsidR="00FC17A2" w:rsidRPr="00F422C3" w:rsidRDefault="00FC17A2" w:rsidP="00FC17A2">
            <w:pPr>
              <w:jc w:val="center"/>
              <w:rPr>
                <w:rFonts w:ascii="Arial" w:hAnsi="Arial" w:cs="Arial"/>
                <w:b/>
                <w:noProof/>
                <w:szCs w:val="18"/>
                <w:lang w:eastAsia="en-GB"/>
              </w:rPr>
            </w:pPr>
            <w:r>
              <w:rPr>
                <w:rFonts w:ascii="Arial" w:hAnsi="Arial" w:cs="Arial"/>
                <w:b/>
                <w:noProof/>
                <w:szCs w:val="18"/>
                <w:lang w:eastAsia="en-GB"/>
              </w:rPr>
              <w:t>2023</w:t>
            </w:r>
          </w:p>
        </w:tc>
        <w:tc>
          <w:tcPr>
            <w:tcW w:w="7797" w:type="dxa"/>
          </w:tcPr>
          <w:p w14:paraId="6BBD0F25" w14:textId="78BDB737" w:rsidR="00FC17A2" w:rsidRPr="00F422C3" w:rsidRDefault="00FC17A2" w:rsidP="00FC17A2">
            <w:pPr>
              <w:jc w:val="center"/>
              <w:rPr>
                <w:rFonts w:ascii="Arial" w:hAnsi="Arial" w:cs="Arial"/>
                <w:b/>
                <w:noProof/>
                <w:szCs w:val="18"/>
                <w:lang w:eastAsia="en-GB"/>
              </w:rPr>
            </w:pPr>
            <w:r w:rsidRPr="00F422C3">
              <w:rPr>
                <w:rFonts w:ascii="Arial" w:hAnsi="Arial" w:cs="Arial"/>
                <w:b/>
                <w:noProof/>
                <w:szCs w:val="18"/>
                <w:lang w:eastAsia="en-GB"/>
              </w:rPr>
              <w:t>Notes</w:t>
            </w:r>
          </w:p>
        </w:tc>
      </w:tr>
      <w:tr w:rsidR="00FC17A2" w:rsidRPr="00D65635" w14:paraId="1D1FDBB6" w14:textId="77777777" w:rsidTr="007036B1">
        <w:trPr>
          <w:trHeight w:val="1005"/>
        </w:trPr>
        <w:tc>
          <w:tcPr>
            <w:tcW w:w="5382" w:type="dxa"/>
          </w:tcPr>
          <w:p w14:paraId="3260E6C3" w14:textId="77777777" w:rsidR="00FC17A2" w:rsidRPr="00202300" w:rsidRDefault="00FC17A2" w:rsidP="00FC17A2">
            <w:pPr>
              <w:pStyle w:val="Pa0"/>
              <w:numPr>
                <w:ilvl w:val="0"/>
                <w:numId w:val="2"/>
              </w:numPr>
              <w:ind w:left="284" w:hanging="284"/>
              <w:rPr>
                <w:rStyle w:val="A7"/>
                <w:rFonts w:ascii="Arial" w:hAnsi="Arial" w:cs="Arial"/>
                <w:sz w:val="22"/>
                <w:szCs w:val="22"/>
              </w:rPr>
            </w:pPr>
            <w:r w:rsidRPr="00202300">
              <w:rPr>
                <w:rStyle w:val="A7"/>
                <w:rFonts w:ascii="Arial" w:hAnsi="Arial" w:cs="Arial"/>
                <w:sz w:val="22"/>
                <w:szCs w:val="22"/>
              </w:rPr>
              <w:t>Percentage of staff in each of the AfC Bands 1-9 and VSM (including executive Board members) compared with the percentage of staff in the overall workforce. (Workforce Data)</w:t>
            </w:r>
          </w:p>
          <w:p w14:paraId="4A818ED8" w14:textId="77777777" w:rsidR="00FC17A2" w:rsidRPr="00202300" w:rsidRDefault="00FC17A2" w:rsidP="00FC17A2">
            <w:pPr>
              <w:rPr>
                <w:rFonts w:ascii="Arial" w:hAnsi="Arial" w:cs="Arial"/>
              </w:rPr>
            </w:pPr>
          </w:p>
        </w:tc>
        <w:tc>
          <w:tcPr>
            <w:tcW w:w="992" w:type="dxa"/>
            <w:shd w:val="clear" w:color="auto" w:fill="auto"/>
          </w:tcPr>
          <w:p w14:paraId="01F89484" w14:textId="7E4B85DF" w:rsidR="00FC17A2" w:rsidRPr="00202300" w:rsidRDefault="00FC17A2" w:rsidP="00FC17A2">
            <w:pPr>
              <w:jc w:val="center"/>
              <w:rPr>
                <w:rFonts w:ascii="Arial" w:hAnsi="Arial" w:cs="Arial"/>
                <w:noProof/>
                <w:lang w:eastAsia="en-GB"/>
              </w:rPr>
            </w:pPr>
            <w:r w:rsidRPr="00202300">
              <w:rPr>
                <w:rFonts w:ascii="Arial" w:hAnsi="Arial" w:cs="Arial"/>
                <w:noProof/>
                <w:lang w:eastAsia="en-GB"/>
              </w:rPr>
              <w:t>15.0%</w:t>
            </w:r>
          </w:p>
        </w:tc>
        <w:tc>
          <w:tcPr>
            <w:tcW w:w="992" w:type="dxa"/>
          </w:tcPr>
          <w:p w14:paraId="2DDBD4D4" w14:textId="6FCF86F7" w:rsidR="00FC17A2" w:rsidRPr="00202300" w:rsidRDefault="00FC17A2" w:rsidP="00FC17A2">
            <w:pPr>
              <w:jc w:val="center"/>
              <w:rPr>
                <w:rFonts w:ascii="Arial" w:hAnsi="Arial" w:cs="Arial"/>
                <w:noProof/>
                <w:lang w:eastAsia="en-GB"/>
              </w:rPr>
            </w:pPr>
            <w:r w:rsidRPr="00202300">
              <w:rPr>
                <w:rFonts w:ascii="Arial" w:hAnsi="Arial" w:cs="Arial"/>
                <w:noProof/>
                <w:lang w:eastAsia="en-GB"/>
              </w:rPr>
              <w:t>16.2%</w:t>
            </w:r>
          </w:p>
        </w:tc>
        <w:tc>
          <w:tcPr>
            <w:tcW w:w="7797" w:type="dxa"/>
          </w:tcPr>
          <w:p w14:paraId="71626930" w14:textId="77777777" w:rsidR="00FC17A2" w:rsidRPr="00202300" w:rsidRDefault="00FC17A2" w:rsidP="00FC17A2">
            <w:pPr>
              <w:rPr>
                <w:rFonts w:ascii="Arial" w:hAnsi="Arial" w:cs="Arial"/>
                <w:noProof/>
                <w:lang w:eastAsia="en-GB"/>
              </w:rPr>
            </w:pPr>
            <w:r w:rsidRPr="00202300">
              <w:rPr>
                <w:rFonts w:ascii="Arial" w:hAnsi="Arial" w:cs="Arial"/>
                <w:noProof/>
                <w:lang w:eastAsia="en-GB"/>
              </w:rPr>
              <w:t xml:space="preserve">Overall there has been an increase in the proportion and number of BME staff in most areas in the last year. </w:t>
            </w:r>
          </w:p>
          <w:p w14:paraId="2B7370AD" w14:textId="0AF0E0BE" w:rsidR="00FC17A2" w:rsidRPr="00202300" w:rsidRDefault="00FC17A2" w:rsidP="00FC17A2">
            <w:pPr>
              <w:rPr>
                <w:rFonts w:ascii="Arial" w:hAnsi="Arial" w:cs="Arial"/>
                <w:noProof/>
                <w:lang w:eastAsia="en-GB"/>
              </w:rPr>
            </w:pPr>
            <w:r w:rsidRPr="00202300">
              <w:rPr>
                <w:rFonts w:ascii="Arial" w:hAnsi="Arial" w:cs="Arial"/>
                <w:noProof/>
                <w:lang w:eastAsia="en-GB"/>
              </w:rPr>
              <w:t>Notably we have seen increases at Bands 5 and 8A (non-clinical) and Bands 4, 5, 8b and 8c (clinical).</w:t>
            </w:r>
          </w:p>
        </w:tc>
      </w:tr>
      <w:tr w:rsidR="00FC17A2" w:rsidRPr="00D65635" w14:paraId="2EF18672" w14:textId="77777777" w:rsidTr="007036B1">
        <w:trPr>
          <w:trHeight w:val="1722"/>
        </w:trPr>
        <w:tc>
          <w:tcPr>
            <w:tcW w:w="5382" w:type="dxa"/>
          </w:tcPr>
          <w:p w14:paraId="6A3CA058" w14:textId="77777777" w:rsidR="00FC17A2" w:rsidRPr="00202300" w:rsidRDefault="00FC17A2" w:rsidP="00FC17A2">
            <w:pPr>
              <w:pStyle w:val="Pa0"/>
              <w:numPr>
                <w:ilvl w:val="0"/>
                <w:numId w:val="2"/>
              </w:numPr>
              <w:ind w:left="284" w:hanging="284"/>
              <w:rPr>
                <w:rFonts w:ascii="Arial" w:hAnsi="Arial" w:cs="Arial"/>
                <w:color w:val="000000"/>
                <w:sz w:val="22"/>
                <w:szCs w:val="22"/>
              </w:rPr>
            </w:pPr>
            <w:r w:rsidRPr="00202300">
              <w:rPr>
                <w:rStyle w:val="A7"/>
                <w:rFonts w:ascii="Arial" w:hAnsi="Arial" w:cs="Arial"/>
                <w:sz w:val="22"/>
                <w:szCs w:val="22"/>
              </w:rPr>
              <w:t>Relative likelihood of staff being appointed from shortlisting across all posts. (Workforce Data)</w:t>
            </w:r>
          </w:p>
          <w:p w14:paraId="32E037E5" w14:textId="77777777" w:rsidR="00FC17A2" w:rsidRPr="00202300" w:rsidRDefault="00FC17A2" w:rsidP="00FC17A2">
            <w:pPr>
              <w:ind w:left="360"/>
              <w:rPr>
                <w:rFonts w:ascii="Arial" w:hAnsi="Arial" w:cs="Arial"/>
              </w:rPr>
            </w:pPr>
          </w:p>
        </w:tc>
        <w:tc>
          <w:tcPr>
            <w:tcW w:w="992" w:type="dxa"/>
          </w:tcPr>
          <w:p w14:paraId="4642E922" w14:textId="65B0CF34" w:rsidR="00FC17A2" w:rsidRPr="00202300" w:rsidRDefault="00FC17A2" w:rsidP="00FC17A2">
            <w:pPr>
              <w:jc w:val="center"/>
              <w:rPr>
                <w:rFonts w:ascii="Arial" w:hAnsi="Arial" w:cs="Arial"/>
                <w:noProof/>
                <w:lang w:eastAsia="en-GB"/>
              </w:rPr>
            </w:pPr>
            <w:r w:rsidRPr="00202300">
              <w:rPr>
                <w:rFonts w:ascii="Arial" w:hAnsi="Arial" w:cs="Arial"/>
                <w:noProof/>
                <w:lang w:eastAsia="en-GB"/>
              </w:rPr>
              <w:t>0.78</w:t>
            </w:r>
          </w:p>
        </w:tc>
        <w:tc>
          <w:tcPr>
            <w:tcW w:w="992" w:type="dxa"/>
          </w:tcPr>
          <w:p w14:paraId="10371CCA" w14:textId="0ECB51E5" w:rsidR="00FC17A2" w:rsidRPr="00202300" w:rsidRDefault="00FC17A2" w:rsidP="00FC17A2">
            <w:pPr>
              <w:jc w:val="center"/>
              <w:rPr>
                <w:rFonts w:ascii="Arial" w:hAnsi="Arial" w:cs="Arial"/>
                <w:noProof/>
                <w:lang w:eastAsia="en-GB"/>
              </w:rPr>
            </w:pPr>
            <w:r w:rsidRPr="00202300">
              <w:rPr>
                <w:rFonts w:ascii="Arial" w:hAnsi="Arial" w:cs="Arial"/>
                <w:noProof/>
                <w:lang w:eastAsia="en-GB"/>
              </w:rPr>
              <w:t>0.82</w:t>
            </w:r>
          </w:p>
        </w:tc>
        <w:tc>
          <w:tcPr>
            <w:tcW w:w="7797" w:type="dxa"/>
          </w:tcPr>
          <w:p w14:paraId="5D8326D9" w14:textId="77777777" w:rsidR="00FC17A2" w:rsidRDefault="00FC17A2" w:rsidP="00FC17A2">
            <w:pPr>
              <w:rPr>
                <w:rFonts w:ascii="Arial" w:hAnsi="Arial" w:cs="Arial"/>
                <w:noProof/>
                <w:lang w:eastAsia="en-GB"/>
              </w:rPr>
            </w:pPr>
            <w:r>
              <w:rPr>
                <w:rFonts w:ascii="Arial" w:hAnsi="Arial" w:cs="Arial"/>
                <w:noProof/>
                <w:lang w:eastAsia="en-GB"/>
              </w:rPr>
              <w:t xml:space="preserve">Whilst we have seen a slight increase in our data this year, our result for recruitment continues to be positive for BME applicants. The calculation of the likelihood means that a figure above 1.0 would indicate that White candidates are more likely to be appointed into roles; our figure is below one demonstrating that White candidates are not more likely to be offered roles after shortlisting; this is evidence that our recruitment processes provide equity of opportunity for all applicants. </w:t>
            </w:r>
          </w:p>
          <w:p w14:paraId="17E14AE5" w14:textId="69F0FF68" w:rsidR="007036B1" w:rsidRPr="00202300" w:rsidRDefault="007036B1" w:rsidP="00FC17A2">
            <w:pPr>
              <w:rPr>
                <w:rFonts w:ascii="Arial" w:hAnsi="Arial" w:cs="Arial"/>
                <w:noProof/>
                <w:lang w:eastAsia="en-GB"/>
              </w:rPr>
            </w:pPr>
          </w:p>
        </w:tc>
      </w:tr>
      <w:tr w:rsidR="00FC17A2" w:rsidRPr="00D65635" w14:paraId="2315C2BF" w14:textId="77777777" w:rsidTr="007036B1">
        <w:trPr>
          <w:trHeight w:val="2512"/>
        </w:trPr>
        <w:tc>
          <w:tcPr>
            <w:tcW w:w="5382" w:type="dxa"/>
          </w:tcPr>
          <w:p w14:paraId="02BF87D4" w14:textId="77777777" w:rsidR="00FC17A2" w:rsidRPr="00E10817" w:rsidRDefault="00FC17A2" w:rsidP="00FC17A2">
            <w:pPr>
              <w:pStyle w:val="Pa0"/>
              <w:numPr>
                <w:ilvl w:val="0"/>
                <w:numId w:val="2"/>
              </w:numPr>
              <w:ind w:left="284" w:hanging="284"/>
              <w:rPr>
                <w:rFonts w:ascii="Arial" w:hAnsi="Arial" w:cs="Arial"/>
                <w:color w:val="000000"/>
                <w:sz w:val="22"/>
                <w:szCs w:val="22"/>
              </w:rPr>
            </w:pPr>
            <w:r w:rsidRPr="00E10817">
              <w:rPr>
                <w:rStyle w:val="A7"/>
                <w:rFonts w:ascii="Arial" w:hAnsi="Arial" w:cs="Arial"/>
                <w:sz w:val="22"/>
                <w:szCs w:val="22"/>
              </w:rPr>
              <w:t xml:space="preserve">Relative likelihood of staff entering the formal disciplinary process, as measured by entry into a formal disciplinary investigation. This indicator will be based on data from a </w:t>
            </w:r>
            <w:proofErr w:type="gramStart"/>
            <w:r w:rsidRPr="00E10817">
              <w:rPr>
                <w:rStyle w:val="A7"/>
                <w:rFonts w:ascii="Arial" w:hAnsi="Arial" w:cs="Arial"/>
                <w:sz w:val="22"/>
                <w:szCs w:val="22"/>
              </w:rPr>
              <w:t>two year</w:t>
            </w:r>
            <w:proofErr w:type="gramEnd"/>
            <w:r w:rsidRPr="00E10817">
              <w:rPr>
                <w:rStyle w:val="A7"/>
                <w:rFonts w:ascii="Arial" w:hAnsi="Arial" w:cs="Arial"/>
                <w:sz w:val="22"/>
                <w:szCs w:val="22"/>
              </w:rPr>
              <w:t xml:space="preserve"> rolling average of the current year and the previous year. (Workforce Data)</w:t>
            </w:r>
          </w:p>
          <w:p w14:paraId="08CA7D47" w14:textId="77777777" w:rsidR="00FC17A2" w:rsidRPr="00E10817" w:rsidRDefault="00FC17A2" w:rsidP="00FC17A2">
            <w:pPr>
              <w:pStyle w:val="ListParagraph"/>
              <w:rPr>
                <w:rFonts w:ascii="Arial" w:hAnsi="Arial" w:cs="Arial"/>
              </w:rPr>
            </w:pPr>
          </w:p>
        </w:tc>
        <w:tc>
          <w:tcPr>
            <w:tcW w:w="992" w:type="dxa"/>
          </w:tcPr>
          <w:p w14:paraId="04210CCF" w14:textId="4FB37E1B" w:rsidR="00FC17A2" w:rsidRPr="00202300" w:rsidRDefault="00FC17A2" w:rsidP="00FC17A2">
            <w:pPr>
              <w:jc w:val="center"/>
              <w:rPr>
                <w:rFonts w:ascii="Arial" w:hAnsi="Arial" w:cs="Arial"/>
                <w:noProof/>
                <w:lang w:eastAsia="en-GB"/>
              </w:rPr>
            </w:pPr>
            <w:r w:rsidRPr="00202300">
              <w:rPr>
                <w:rFonts w:ascii="Arial" w:hAnsi="Arial" w:cs="Arial"/>
                <w:noProof/>
                <w:lang w:eastAsia="en-GB"/>
              </w:rPr>
              <w:t>0.60</w:t>
            </w:r>
          </w:p>
        </w:tc>
        <w:tc>
          <w:tcPr>
            <w:tcW w:w="992" w:type="dxa"/>
          </w:tcPr>
          <w:p w14:paraId="2AB01067" w14:textId="399DF196" w:rsidR="00FC17A2" w:rsidRPr="00202300" w:rsidRDefault="00FC17A2" w:rsidP="00FC17A2">
            <w:pPr>
              <w:jc w:val="center"/>
              <w:rPr>
                <w:rFonts w:ascii="Arial" w:hAnsi="Arial" w:cs="Arial"/>
                <w:noProof/>
                <w:lang w:eastAsia="en-GB"/>
              </w:rPr>
            </w:pPr>
            <w:r w:rsidRPr="00202300">
              <w:rPr>
                <w:rFonts w:ascii="Arial" w:hAnsi="Arial" w:cs="Arial"/>
                <w:noProof/>
                <w:lang w:eastAsia="en-GB"/>
              </w:rPr>
              <w:t>1.67</w:t>
            </w:r>
          </w:p>
        </w:tc>
        <w:tc>
          <w:tcPr>
            <w:tcW w:w="7797" w:type="dxa"/>
          </w:tcPr>
          <w:p w14:paraId="705254E2" w14:textId="77777777" w:rsidR="00FC17A2" w:rsidRDefault="00FC17A2" w:rsidP="00FC17A2">
            <w:pPr>
              <w:rPr>
                <w:rFonts w:ascii="Arial" w:hAnsi="Arial" w:cs="Arial"/>
                <w:noProof/>
                <w:lang w:eastAsia="en-GB"/>
              </w:rPr>
            </w:pPr>
            <w:r>
              <w:rPr>
                <w:rFonts w:ascii="Arial" w:hAnsi="Arial" w:cs="Arial"/>
                <w:noProof/>
                <w:lang w:eastAsia="en-GB"/>
              </w:rPr>
              <w:t xml:space="preserve">Our data result here has increased this year and the calculation results in a figure above 1.0 which would indicate that BME staff are more likely to be entered into a formal disciplinary process. </w:t>
            </w:r>
          </w:p>
          <w:p w14:paraId="59CB3B47" w14:textId="02FAF33E" w:rsidR="00FC17A2" w:rsidRDefault="00FC17A2" w:rsidP="00FC17A2">
            <w:pPr>
              <w:rPr>
                <w:rFonts w:ascii="Arial" w:hAnsi="Arial" w:cs="Arial"/>
                <w:noProof/>
                <w:lang w:eastAsia="en-GB"/>
              </w:rPr>
            </w:pPr>
            <w:r>
              <w:rPr>
                <w:rFonts w:ascii="Arial" w:hAnsi="Arial" w:cs="Arial"/>
                <w:noProof/>
                <w:lang w:eastAsia="en-GB"/>
              </w:rPr>
              <w:t xml:space="preserve">However, during the last year, one BME staff member was entered into a formal process which was the same number as 2022 so in this last year, there hasn’t been an increase in the number of BME staff entering into the formal processes. </w:t>
            </w:r>
          </w:p>
          <w:p w14:paraId="7F087845" w14:textId="77777777" w:rsidR="00FC17A2" w:rsidRDefault="00FC17A2" w:rsidP="00FC17A2">
            <w:pPr>
              <w:rPr>
                <w:rFonts w:ascii="Arial" w:hAnsi="Arial" w:cs="Arial"/>
                <w:noProof/>
                <w:lang w:eastAsia="en-GB"/>
              </w:rPr>
            </w:pPr>
          </w:p>
          <w:p w14:paraId="6D919CC4" w14:textId="64ADEA75" w:rsidR="00FC17A2" w:rsidRDefault="00FC17A2" w:rsidP="00FC17A2">
            <w:pPr>
              <w:rPr>
                <w:rFonts w:ascii="Arial" w:hAnsi="Arial" w:cs="Arial"/>
                <w:noProof/>
                <w:lang w:eastAsia="en-GB"/>
              </w:rPr>
            </w:pPr>
            <w:r>
              <w:rPr>
                <w:rFonts w:ascii="Arial" w:hAnsi="Arial" w:cs="Arial"/>
                <w:noProof/>
                <w:lang w:eastAsia="en-GB"/>
              </w:rPr>
              <w:t xml:space="preserve">What we have seen is a reduction overall in the numnber of formal disciplinary cases which has affected the outcome for this indicator.  </w:t>
            </w:r>
          </w:p>
          <w:p w14:paraId="39AF13F6" w14:textId="385443F6" w:rsidR="00FC17A2" w:rsidRPr="00202300" w:rsidRDefault="00FC17A2" w:rsidP="00FC17A2">
            <w:pPr>
              <w:rPr>
                <w:rFonts w:ascii="Arial" w:hAnsi="Arial" w:cs="Arial"/>
                <w:noProof/>
                <w:lang w:eastAsia="en-GB"/>
              </w:rPr>
            </w:pPr>
          </w:p>
        </w:tc>
      </w:tr>
      <w:tr w:rsidR="00FC17A2" w:rsidRPr="00D65635" w14:paraId="3683AFDC" w14:textId="77777777" w:rsidTr="007036B1">
        <w:trPr>
          <w:trHeight w:val="1694"/>
        </w:trPr>
        <w:tc>
          <w:tcPr>
            <w:tcW w:w="5382" w:type="dxa"/>
          </w:tcPr>
          <w:p w14:paraId="6D43A620" w14:textId="70368182" w:rsidR="00FC17A2" w:rsidRPr="00202300" w:rsidRDefault="00FC17A2" w:rsidP="00FC17A2">
            <w:pPr>
              <w:pStyle w:val="Pa0"/>
              <w:numPr>
                <w:ilvl w:val="0"/>
                <w:numId w:val="2"/>
              </w:numPr>
              <w:ind w:left="284" w:hanging="284"/>
              <w:rPr>
                <w:rFonts w:ascii="Arial" w:hAnsi="Arial" w:cs="Arial"/>
                <w:color w:val="000000"/>
                <w:sz w:val="22"/>
                <w:szCs w:val="22"/>
              </w:rPr>
            </w:pPr>
            <w:r w:rsidRPr="00202300">
              <w:rPr>
                <w:rStyle w:val="A7"/>
                <w:rFonts w:ascii="Arial" w:hAnsi="Arial" w:cs="Arial"/>
                <w:sz w:val="22"/>
                <w:szCs w:val="22"/>
              </w:rPr>
              <w:t>Relative likelihood of White staff accessing non-mandatory training and C</w:t>
            </w:r>
            <w:r>
              <w:rPr>
                <w:rStyle w:val="A7"/>
                <w:rFonts w:ascii="Arial" w:hAnsi="Arial" w:cs="Arial"/>
                <w:sz w:val="22"/>
                <w:szCs w:val="22"/>
              </w:rPr>
              <w:t xml:space="preserve">ontinued Professional </w:t>
            </w:r>
            <w:r w:rsidRPr="00202300">
              <w:rPr>
                <w:rStyle w:val="A7"/>
                <w:rFonts w:ascii="Arial" w:hAnsi="Arial" w:cs="Arial"/>
                <w:sz w:val="22"/>
                <w:szCs w:val="22"/>
              </w:rPr>
              <w:t>D</w:t>
            </w:r>
            <w:r>
              <w:rPr>
                <w:rStyle w:val="A7"/>
                <w:rFonts w:ascii="Arial" w:hAnsi="Arial" w:cs="Arial"/>
                <w:sz w:val="22"/>
                <w:szCs w:val="22"/>
              </w:rPr>
              <w:t>evelopment (CPD)</w:t>
            </w:r>
            <w:r w:rsidRPr="00202300">
              <w:rPr>
                <w:rStyle w:val="A7"/>
                <w:rFonts w:ascii="Arial" w:hAnsi="Arial" w:cs="Arial"/>
                <w:sz w:val="22"/>
                <w:szCs w:val="22"/>
              </w:rPr>
              <w:t>.</w:t>
            </w:r>
          </w:p>
          <w:p w14:paraId="7A29D839" w14:textId="77777777" w:rsidR="00FC17A2" w:rsidRPr="00202300" w:rsidRDefault="00FC17A2" w:rsidP="00FC17A2">
            <w:pPr>
              <w:pStyle w:val="ListParagraph"/>
              <w:rPr>
                <w:rFonts w:ascii="Arial" w:hAnsi="Arial" w:cs="Arial"/>
              </w:rPr>
            </w:pPr>
          </w:p>
        </w:tc>
        <w:tc>
          <w:tcPr>
            <w:tcW w:w="992" w:type="dxa"/>
          </w:tcPr>
          <w:p w14:paraId="110CCCAB" w14:textId="2B732639" w:rsidR="00FC17A2" w:rsidRPr="00202300" w:rsidRDefault="00FC17A2" w:rsidP="00FC17A2">
            <w:pPr>
              <w:jc w:val="center"/>
              <w:rPr>
                <w:rFonts w:ascii="Arial" w:hAnsi="Arial" w:cs="Arial"/>
                <w:noProof/>
                <w:lang w:eastAsia="en-GB"/>
              </w:rPr>
            </w:pPr>
            <w:r w:rsidRPr="00202300">
              <w:rPr>
                <w:rFonts w:ascii="Arial" w:hAnsi="Arial" w:cs="Arial"/>
                <w:noProof/>
                <w:lang w:eastAsia="en-GB"/>
              </w:rPr>
              <w:t>1.13</w:t>
            </w:r>
          </w:p>
        </w:tc>
        <w:tc>
          <w:tcPr>
            <w:tcW w:w="992" w:type="dxa"/>
          </w:tcPr>
          <w:p w14:paraId="176DC895" w14:textId="3937AB36" w:rsidR="00FC17A2" w:rsidRPr="00202300" w:rsidRDefault="00FC17A2" w:rsidP="00FC17A2">
            <w:pPr>
              <w:jc w:val="center"/>
              <w:rPr>
                <w:rFonts w:ascii="Arial" w:hAnsi="Arial" w:cs="Arial"/>
                <w:noProof/>
                <w:lang w:eastAsia="en-GB"/>
              </w:rPr>
            </w:pPr>
            <w:r w:rsidRPr="00202300">
              <w:rPr>
                <w:rFonts w:ascii="Arial" w:hAnsi="Arial" w:cs="Arial"/>
                <w:noProof/>
                <w:lang w:eastAsia="en-GB"/>
              </w:rPr>
              <w:t>1.00</w:t>
            </w:r>
          </w:p>
        </w:tc>
        <w:tc>
          <w:tcPr>
            <w:tcW w:w="7797" w:type="dxa"/>
          </w:tcPr>
          <w:p w14:paraId="34516CA9" w14:textId="77777777" w:rsidR="00FC17A2" w:rsidRDefault="00FC17A2" w:rsidP="00FC17A2">
            <w:pPr>
              <w:rPr>
                <w:rFonts w:ascii="Arial" w:hAnsi="Arial" w:cs="Arial"/>
                <w:noProof/>
                <w:lang w:eastAsia="en-GB"/>
              </w:rPr>
            </w:pPr>
            <w:r w:rsidRPr="00202300">
              <w:rPr>
                <w:rFonts w:ascii="Arial" w:hAnsi="Arial" w:cs="Arial"/>
                <w:noProof/>
                <w:lang w:eastAsia="en-GB"/>
              </w:rPr>
              <w:t xml:space="preserve">The </w:t>
            </w:r>
            <w:r>
              <w:rPr>
                <w:rFonts w:ascii="Arial" w:hAnsi="Arial" w:cs="Arial"/>
                <w:noProof/>
                <w:lang w:eastAsia="en-GB"/>
              </w:rPr>
              <w:t>data here has reduced (and we have seen year on year reductions since 2019) so whereas last year, White staff were more likely to access non mandatory training and CPD, we are now seeing a more equitible position for colleagues wishing to undertake training and CPD.</w:t>
            </w:r>
          </w:p>
          <w:p w14:paraId="66EA38DD" w14:textId="77777777" w:rsidR="00165A3B" w:rsidRPr="00165A3B" w:rsidRDefault="00165A3B" w:rsidP="00165A3B">
            <w:pPr>
              <w:rPr>
                <w:rFonts w:ascii="Arial" w:hAnsi="Arial" w:cs="Arial"/>
                <w:lang w:eastAsia="en-GB"/>
              </w:rPr>
            </w:pPr>
          </w:p>
          <w:p w14:paraId="528182E1" w14:textId="77777777" w:rsidR="00165A3B" w:rsidRDefault="00165A3B" w:rsidP="00165A3B">
            <w:pPr>
              <w:rPr>
                <w:rFonts w:ascii="Arial" w:hAnsi="Arial" w:cs="Arial"/>
                <w:noProof/>
                <w:lang w:eastAsia="en-GB"/>
              </w:rPr>
            </w:pPr>
          </w:p>
          <w:p w14:paraId="45D28EBC" w14:textId="77777777" w:rsidR="00165A3B" w:rsidRDefault="00165A3B" w:rsidP="00165A3B">
            <w:pPr>
              <w:rPr>
                <w:rFonts w:ascii="Arial" w:hAnsi="Arial" w:cs="Arial"/>
                <w:noProof/>
                <w:lang w:eastAsia="en-GB"/>
              </w:rPr>
            </w:pPr>
          </w:p>
          <w:p w14:paraId="4F514B33" w14:textId="4D86C223" w:rsidR="00165A3B" w:rsidRPr="00165A3B" w:rsidRDefault="00165A3B" w:rsidP="00165A3B">
            <w:pPr>
              <w:rPr>
                <w:rFonts w:ascii="Arial" w:hAnsi="Arial" w:cs="Arial"/>
                <w:lang w:eastAsia="en-GB"/>
              </w:rPr>
            </w:pPr>
          </w:p>
        </w:tc>
      </w:tr>
      <w:tr w:rsidR="00FC17A2" w:rsidRPr="00D65635" w14:paraId="547E81C4" w14:textId="77777777" w:rsidTr="007036B1">
        <w:trPr>
          <w:trHeight w:val="844"/>
        </w:trPr>
        <w:tc>
          <w:tcPr>
            <w:tcW w:w="5382" w:type="dxa"/>
          </w:tcPr>
          <w:p w14:paraId="74FE5B3E" w14:textId="472AA9ED" w:rsidR="00FC17A2" w:rsidRPr="00202300" w:rsidRDefault="00FC17A2" w:rsidP="00FC17A2">
            <w:pPr>
              <w:pStyle w:val="Pa0"/>
              <w:numPr>
                <w:ilvl w:val="0"/>
                <w:numId w:val="2"/>
              </w:numPr>
              <w:ind w:left="284" w:hanging="284"/>
              <w:rPr>
                <w:rFonts w:ascii="Arial" w:hAnsi="Arial" w:cs="Arial"/>
                <w:color w:val="000000"/>
                <w:sz w:val="22"/>
                <w:szCs w:val="22"/>
              </w:rPr>
            </w:pPr>
            <w:r w:rsidRPr="00202300">
              <w:rPr>
                <w:rStyle w:val="A7"/>
                <w:rFonts w:ascii="Arial" w:hAnsi="Arial" w:cs="Arial"/>
                <w:sz w:val="22"/>
                <w:szCs w:val="22"/>
              </w:rPr>
              <w:lastRenderedPageBreak/>
              <w:t xml:space="preserve">Percentage of staff experiencing harassment, bullying or abuse from patients, </w:t>
            </w:r>
            <w:proofErr w:type="gramStart"/>
            <w:r w:rsidRPr="00202300">
              <w:rPr>
                <w:rStyle w:val="A7"/>
                <w:rFonts w:ascii="Arial" w:hAnsi="Arial" w:cs="Arial"/>
                <w:sz w:val="22"/>
                <w:szCs w:val="22"/>
              </w:rPr>
              <w:t>relatives</w:t>
            </w:r>
            <w:proofErr w:type="gramEnd"/>
            <w:r w:rsidRPr="00202300">
              <w:rPr>
                <w:rStyle w:val="A7"/>
                <w:rFonts w:ascii="Arial" w:hAnsi="Arial" w:cs="Arial"/>
                <w:sz w:val="22"/>
                <w:szCs w:val="22"/>
              </w:rPr>
              <w:t xml:space="preserve"> or the public in last 12 months. (Annual Staff Survey)</w:t>
            </w:r>
          </w:p>
          <w:p w14:paraId="5CFF4EEF" w14:textId="77777777" w:rsidR="00FC17A2" w:rsidRPr="00202300" w:rsidRDefault="00FC17A2" w:rsidP="00FC17A2">
            <w:pPr>
              <w:rPr>
                <w:rFonts w:ascii="Arial" w:hAnsi="Arial" w:cs="Arial"/>
              </w:rPr>
            </w:pPr>
          </w:p>
        </w:tc>
        <w:tc>
          <w:tcPr>
            <w:tcW w:w="992" w:type="dxa"/>
          </w:tcPr>
          <w:p w14:paraId="3115D440" w14:textId="55E4A306" w:rsidR="00FC17A2" w:rsidRPr="00202300" w:rsidRDefault="00FC17A2" w:rsidP="00FC17A2">
            <w:pPr>
              <w:jc w:val="center"/>
              <w:rPr>
                <w:rFonts w:ascii="Arial" w:hAnsi="Arial" w:cs="Arial"/>
                <w:noProof/>
                <w:lang w:eastAsia="en-GB"/>
              </w:rPr>
            </w:pPr>
            <w:r w:rsidRPr="00202300">
              <w:rPr>
                <w:rFonts w:ascii="Arial" w:hAnsi="Arial" w:cs="Arial"/>
                <w:noProof/>
                <w:lang w:eastAsia="en-GB"/>
              </w:rPr>
              <w:t>30.8%</w:t>
            </w:r>
          </w:p>
        </w:tc>
        <w:tc>
          <w:tcPr>
            <w:tcW w:w="992" w:type="dxa"/>
          </w:tcPr>
          <w:p w14:paraId="554E4D22" w14:textId="5A9D81F6" w:rsidR="00FC17A2" w:rsidRPr="00202300" w:rsidRDefault="00FC17A2" w:rsidP="00FC17A2">
            <w:pPr>
              <w:jc w:val="center"/>
              <w:rPr>
                <w:rFonts w:ascii="Arial" w:hAnsi="Arial" w:cs="Arial"/>
                <w:noProof/>
                <w:lang w:eastAsia="en-GB"/>
              </w:rPr>
            </w:pPr>
            <w:r w:rsidRPr="00202300">
              <w:rPr>
                <w:rFonts w:ascii="Arial" w:hAnsi="Arial" w:cs="Arial"/>
                <w:noProof/>
                <w:lang w:eastAsia="en-GB"/>
              </w:rPr>
              <w:t>30.1%</w:t>
            </w:r>
          </w:p>
        </w:tc>
        <w:tc>
          <w:tcPr>
            <w:tcW w:w="7797" w:type="dxa"/>
            <w:shd w:val="clear" w:color="auto" w:fill="auto"/>
          </w:tcPr>
          <w:p w14:paraId="0D8D7440" w14:textId="70436922" w:rsidR="00FC17A2" w:rsidRPr="00202300" w:rsidRDefault="00FC17A2" w:rsidP="00FC17A2">
            <w:pPr>
              <w:rPr>
                <w:rFonts w:ascii="Arial" w:hAnsi="Arial" w:cs="Arial"/>
                <w:noProof/>
                <w:lang w:eastAsia="en-GB"/>
              </w:rPr>
            </w:pPr>
            <w:r w:rsidRPr="00202300">
              <w:rPr>
                <w:rFonts w:ascii="Arial" w:hAnsi="Arial" w:cs="Arial"/>
                <w:noProof/>
                <w:lang w:eastAsia="en-GB"/>
              </w:rPr>
              <w:t>The proportion of BME staff experiencing bullying and harrassment from patients and relatives has remaned at a simil</w:t>
            </w:r>
            <w:r>
              <w:rPr>
                <w:rFonts w:ascii="Arial" w:hAnsi="Arial" w:cs="Arial"/>
                <w:noProof/>
                <w:lang w:eastAsia="en-GB"/>
              </w:rPr>
              <w:t>a</w:t>
            </w:r>
            <w:r w:rsidRPr="00202300">
              <w:rPr>
                <w:rFonts w:ascii="Arial" w:hAnsi="Arial" w:cs="Arial"/>
                <w:noProof/>
                <w:lang w:eastAsia="en-GB"/>
              </w:rPr>
              <w:t>r level</w:t>
            </w:r>
            <w:r>
              <w:rPr>
                <w:rFonts w:ascii="Arial" w:hAnsi="Arial" w:cs="Arial"/>
                <w:noProof/>
                <w:lang w:eastAsia="en-GB"/>
              </w:rPr>
              <w:t xml:space="preserve"> to last year and is very close to the national average of </w:t>
            </w:r>
            <w:r w:rsidRPr="00202300">
              <w:rPr>
                <w:rFonts w:ascii="Arial" w:hAnsi="Arial" w:cs="Arial"/>
                <w:noProof/>
                <w:lang w:eastAsia="en-GB"/>
              </w:rPr>
              <w:t>30.8%</w:t>
            </w:r>
            <w:r>
              <w:rPr>
                <w:rFonts w:ascii="Arial" w:hAnsi="Arial" w:cs="Arial"/>
                <w:noProof/>
                <w:lang w:eastAsia="en-GB"/>
              </w:rPr>
              <w:t>.</w:t>
            </w:r>
          </w:p>
          <w:p w14:paraId="194DE1BE" w14:textId="01C7AEAD" w:rsidR="00FC17A2" w:rsidRPr="00202300" w:rsidRDefault="00FC17A2" w:rsidP="00FC17A2">
            <w:pPr>
              <w:rPr>
                <w:rFonts w:ascii="Arial" w:hAnsi="Arial" w:cs="Arial"/>
                <w:noProof/>
                <w:lang w:eastAsia="en-GB"/>
              </w:rPr>
            </w:pPr>
          </w:p>
        </w:tc>
      </w:tr>
      <w:tr w:rsidR="00FC17A2" w:rsidRPr="00D65635" w14:paraId="469647D0" w14:textId="77777777" w:rsidTr="007036B1">
        <w:trPr>
          <w:trHeight w:val="1672"/>
        </w:trPr>
        <w:tc>
          <w:tcPr>
            <w:tcW w:w="5382" w:type="dxa"/>
          </w:tcPr>
          <w:p w14:paraId="14452EC5" w14:textId="597C62CC" w:rsidR="00FC17A2" w:rsidRPr="00202300" w:rsidRDefault="00FC17A2" w:rsidP="00FC17A2">
            <w:pPr>
              <w:pStyle w:val="Pa0"/>
              <w:numPr>
                <w:ilvl w:val="0"/>
                <w:numId w:val="2"/>
              </w:numPr>
              <w:ind w:left="284" w:hanging="284"/>
              <w:rPr>
                <w:rFonts w:ascii="Arial" w:hAnsi="Arial" w:cs="Arial"/>
                <w:color w:val="000000"/>
                <w:sz w:val="22"/>
                <w:szCs w:val="22"/>
              </w:rPr>
            </w:pPr>
            <w:r w:rsidRPr="00202300">
              <w:rPr>
                <w:rStyle w:val="A7"/>
                <w:rFonts w:ascii="Arial" w:hAnsi="Arial" w:cs="Arial"/>
                <w:sz w:val="22"/>
                <w:szCs w:val="22"/>
              </w:rPr>
              <w:t>Percentage of staff experiencing harassment, bullying or abuse from staff in last 12 months. (Annual Staff Survey)</w:t>
            </w:r>
          </w:p>
          <w:p w14:paraId="3D200AFE" w14:textId="77777777" w:rsidR="00FC17A2" w:rsidRPr="00202300" w:rsidRDefault="00FC17A2" w:rsidP="00FC17A2">
            <w:pPr>
              <w:pStyle w:val="ListParagraph"/>
              <w:rPr>
                <w:rFonts w:ascii="Arial" w:hAnsi="Arial" w:cs="Arial"/>
              </w:rPr>
            </w:pPr>
          </w:p>
        </w:tc>
        <w:tc>
          <w:tcPr>
            <w:tcW w:w="992" w:type="dxa"/>
          </w:tcPr>
          <w:p w14:paraId="19F84CCA" w14:textId="618AD74F" w:rsidR="00FC17A2" w:rsidRPr="00202300" w:rsidRDefault="00FC17A2" w:rsidP="00FC17A2">
            <w:pPr>
              <w:jc w:val="center"/>
              <w:rPr>
                <w:rFonts w:ascii="Arial" w:hAnsi="Arial" w:cs="Arial"/>
                <w:noProof/>
                <w:lang w:eastAsia="en-GB"/>
              </w:rPr>
            </w:pPr>
            <w:r w:rsidRPr="00202300">
              <w:rPr>
                <w:rFonts w:ascii="Arial" w:hAnsi="Arial" w:cs="Arial"/>
                <w:noProof/>
                <w:lang w:eastAsia="en-GB"/>
              </w:rPr>
              <w:t>28.7%</w:t>
            </w:r>
          </w:p>
        </w:tc>
        <w:tc>
          <w:tcPr>
            <w:tcW w:w="992" w:type="dxa"/>
          </w:tcPr>
          <w:p w14:paraId="57C9FD9C" w14:textId="20997208" w:rsidR="00FC17A2" w:rsidRPr="00202300" w:rsidRDefault="00FC17A2" w:rsidP="00FC17A2">
            <w:pPr>
              <w:jc w:val="center"/>
              <w:rPr>
                <w:rFonts w:ascii="Arial" w:hAnsi="Arial" w:cs="Arial"/>
                <w:noProof/>
                <w:lang w:eastAsia="en-GB"/>
              </w:rPr>
            </w:pPr>
            <w:r w:rsidRPr="00202300">
              <w:rPr>
                <w:rFonts w:ascii="Arial" w:hAnsi="Arial" w:cs="Arial"/>
                <w:noProof/>
                <w:lang w:eastAsia="en-GB"/>
              </w:rPr>
              <w:t>25.5%</w:t>
            </w:r>
          </w:p>
        </w:tc>
        <w:tc>
          <w:tcPr>
            <w:tcW w:w="7797" w:type="dxa"/>
            <w:shd w:val="clear" w:color="auto" w:fill="auto"/>
          </w:tcPr>
          <w:p w14:paraId="6042684E" w14:textId="5E666BFF" w:rsidR="00FC17A2" w:rsidRPr="00202300" w:rsidRDefault="00FC17A2" w:rsidP="00FC17A2">
            <w:pPr>
              <w:rPr>
                <w:rFonts w:ascii="Arial" w:hAnsi="Arial" w:cs="Arial"/>
                <w:noProof/>
                <w:lang w:eastAsia="en-GB"/>
              </w:rPr>
            </w:pPr>
            <w:r w:rsidRPr="00202300">
              <w:rPr>
                <w:rFonts w:ascii="Arial" w:hAnsi="Arial" w:cs="Arial"/>
                <w:noProof/>
                <w:lang w:eastAsia="en-GB"/>
              </w:rPr>
              <w:t>The proportion of BME staff experiencing bullying and harrassment from staff has seen an decrease from last year</w:t>
            </w:r>
            <w:r>
              <w:rPr>
                <w:rFonts w:ascii="Arial" w:hAnsi="Arial" w:cs="Arial"/>
                <w:noProof/>
                <w:lang w:eastAsia="en-GB"/>
              </w:rPr>
              <w:t xml:space="preserve"> and we are seeing an annual trend in reduction for this indicator and our indicator outcome </w:t>
            </w:r>
            <w:r w:rsidRPr="00202300">
              <w:rPr>
                <w:rFonts w:ascii="Arial" w:hAnsi="Arial" w:cs="Arial"/>
                <w:noProof/>
                <w:lang w:eastAsia="en-GB"/>
              </w:rPr>
              <w:t xml:space="preserve">sits below the national average </w:t>
            </w:r>
            <w:r>
              <w:rPr>
                <w:rFonts w:ascii="Arial" w:hAnsi="Arial" w:cs="Arial"/>
                <w:noProof/>
                <w:lang w:eastAsia="en-GB"/>
              </w:rPr>
              <w:t xml:space="preserve">of </w:t>
            </w:r>
            <w:r w:rsidRPr="00202300">
              <w:rPr>
                <w:rFonts w:ascii="Arial" w:hAnsi="Arial" w:cs="Arial"/>
                <w:noProof/>
                <w:lang w:eastAsia="en-GB"/>
              </w:rPr>
              <w:t>28.8%</w:t>
            </w:r>
            <w:r>
              <w:rPr>
                <w:rFonts w:ascii="Arial" w:hAnsi="Arial" w:cs="Arial"/>
                <w:noProof/>
                <w:lang w:eastAsia="en-GB"/>
              </w:rPr>
              <w:t xml:space="preserve">. Whilst this is an encouraging result, there is still considerable disparity between BME and White British colleagues. </w:t>
            </w:r>
          </w:p>
          <w:p w14:paraId="4550E987" w14:textId="444CBFFB" w:rsidR="00FC17A2" w:rsidRPr="00202300" w:rsidRDefault="00FC17A2" w:rsidP="00FC17A2">
            <w:pPr>
              <w:rPr>
                <w:rFonts w:ascii="Arial" w:hAnsi="Arial" w:cs="Arial"/>
                <w:noProof/>
                <w:lang w:eastAsia="en-GB"/>
              </w:rPr>
            </w:pPr>
          </w:p>
        </w:tc>
      </w:tr>
      <w:tr w:rsidR="00FC17A2" w:rsidRPr="00D65635" w14:paraId="68D38DDD" w14:textId="77777777" w:rsidTr="007036B1">
        <w:trPr>
          <w:trHeight w:val="1202"/>
        </w:trPr>
        <w:tc>
          <w:tcPr>
            <w:tcW w:w="5382" w:type="dxa"/>
          </w:tcPr>
          <w:p w14:paraId="0E4DC89D" w14:textId="25E87366" w:rsidR="00FC17A2" w:rsidRPr="00202300" w:rsidRDefault="00FC17A2" w:rsidP="00FC17A2">
            <w:pPr>
              <w:pStyle w:val="Pa0"/>
              <w:numPr>
                <w:ilvl w:val="0"/>
                <w:numId w:val="2"/>
              </w:numPr>
              <w:ind w:left="284" w:hanging="284"/>
              <w:rPr>
                <w:rFonts w:ascii="Arial" w:hAnsi="Arial" w:cs="Arial"/>
                <w:color w:val="000000"/>
                <w:sz w:val="22"/>
                <w:szCs w:val="22"/>
              </w:rPr>
            </w:pPr>
            <w:r w:rsidRPr="00202300">
              <w:rPr>
                <w:rStyle w:val="A7"/>
                <w:rFonts w:ascii="Arial" w:hAnsi="Arial" w:cs="Arial"/>
                <w:sz w:val="22"/>
                <w:szCs w:val="22"/>
              </w:rPr>
              <w:t>Percentage believing that trust provides equal opportunities for career progression or promotion. (Annual Staff Survey)</w:t>
            </w:r>
          </w:p>
          <w:p w14:paraId="5915DE8A" w14:textId="77777777" w:rsidR="00FC17A2" w:rsidRPr="00202300" w:rsidRDefault="00FC17A2" w:rsidP="00FC17A2">
            <w:pPr>
              <w:pStyle w:val="ListParagraph"/>
              <w:rPr>
                <w:rFonts w:ascii="Arial" w:hAnsi="Arial" w:cs="Arial"/>
              </w:rPr>
            </w:pPr>
          </w:p>
        </w:tc>
        <w:tc>
          <w:tcPr>
            <w:tcW w:w="992" w:type="dxa"/>
          </w:tcPr>
          <w:p w14:paraId="4527B0E2" w14:textId="6F4CA059" w:rsidR="00FC17A2" w:rsidRPr="00202300" w:rsidRDefault="00FC17A2" w:rsidP="00FC17A2">
            <w:pPr>
              <w:jc w:val="center"/>
              <w:rPr>
                <w:rFonts w:ascii="Arial" w:hAnsi="Arial" w:cs="Arial"/>
                <w:noProof/>
                <w:lang w:eastAsia="en-GB"/>
              </w:rPr>
            </w:pPr>
            <w:r w:rsidRPr="00202300">
              <w:rPr>
                <w:rFonts w:ascii="Arial" w:hAnsi="Arial" w:cs="Arial"/>
                <w:noProof/>
                <w:lang w:eastAsia="en-GB"/>
              </w:rPr>
              <w:t>53.3%</w:t>
            </w:r>
          </w:p>
        </w:tc>
        <w:tc>
          <w:tcPr>
            <w:tcW w:w="992" w:type="dxa"/>
          </w:tcPr>
          <w:p w14:paraId="28126C97" w14:textId="55E566F1" w:rsidR="00FC17A2" w:rsidRPr="00202300" w:rsidRDefault="00FC17A2" w:rsidP="00FC17A2">
            <w:pPr>
              <w:jc w:val="center"/>
              <w:rPr>
                <w:rFonts w:ascii="Arial" w:hAnsi="Arial" w:cs="Arial"/>
                <w:noProof/>
                <w:lang w:eastAsia="en-GB"/>
              </w:rPr>
            </w:pPr>
            <w:r w:rsidRPr="00202300">
              <w:rPr>
                <w:rFonts w:ascii="Arial" w:hAnsi="Arial" w:cs="Arial"/>
                <w:noProof/>
                <w:lang w:eastAsia="en-GB"/>
              </w:rPr>
              <w:t>53.7%</w:t>
            </w:r>
          </w:p>
        </w:tc>
        <w:tc>
          <w:tcPr>
            <w:tcW w:w="7797" w:type="dxa"/>
            <w:shd w:val="clear" w:color="auto" w:fill="auto"/>
          </w:tcPr>
          <w:p w14:paraId="6646CBD2" w14:textId="18D526AF" w:rsidR="00FC17A2" w:rsidRPr="00202300" w:rsidRDefault="00FC17A2" w:rsidP="00FC17A2">
            <w:pPr>
              <w:rPr>
                <w:rFonts w:ascii="Arial" w:hAnsi="Arial" w:cs="Arial"/>
                <w:noProof/>
                <w:lang w:eastAsia="en-GB"/>
              </w:rPr>
            </w:pPr>
            <w:r w:rsidRPr="00202300">
              <w:rPr>
                <w:rFonts w:ascii="Arial" w:hAnsi="Arial" w:cs="Arial"/>
                <w:noProof/>
                <w:lang w:eastAsia="en-GB"/>
              </w:rPr>
              <w:t xml:space="preserve">The proportion of BME staff </w:t>
            </w:r>
            <w:r w:rsidRPr="00202300">
              <w:rPr>
                <w:rStyle w:val="A7"/>
                <w:rFonts w:ascii="Arial" w:hAnsi="Arial" w:cs="Arial"/>
                <w:color w:val="auto"/>
                <w:sz w:val="22"/>
                <w:szCs w:val="22"/>
              </w:rPr>
              <w:t xml:space="preserve">percentage believing that trust provides equal opportunities for career progression or promotion </w:t>
            </w:r>
            <w:r w:rsidRPr="00202300">
              <w:rPr>
                <w:rFonts w:ascii="Arial" w:hAnsi="Arial" w:cs="Arial"/>
                <w:noProof/>
                <w:lang w:eastAsia="en-GB"/>
              </w:rPr>
              <w:t>has seen a minimal increase from 202</w:t>
            </w:r>
            <w:r>
              <w:rPr>
                <w:rFonts w:ascii="Arial" w:hAnsi="Arial" w:cs="Arial"/>
                <w:noProof/>
                <w:lang w:eastAsia="en-GB"/>
              </w:rPr>
              <w:t xml:space="preserve">2 and our indicator outcome </w:t>
            </w:r>
            <w:r w:rsidRPr="00202300">
              <w:rPr>
                <w:rFonts w:ascii="Arial" w:hAnsi="Arial" w:cs="Arial"/>
                <w:noProof/>
                <w:lang w:eastAsia="en-GB"/>
              </w:rPr>
              <w:t xml:space="preserve">sits at above the national average </w:t>
            </w:r>
            <w:r>
              <w:rPr>
                <w:rFonts w:ascii="Arial" w:hAnsi="Arial" w:cs="Arial"/>
                <w:noProof/>
                <w:lang w:eastAsia="en-GB"/>
              </w:rPr>
              <w:t xml:space="preserve">of </w:t>
            </w:r>
            <w:r w:rsidRPr="00202300">
              <w:rPr>
                <w:rFonts w:ascii="Arial" w:hAnsi="Arial" w:cs="Arial"/>
                <w:noProof/>
                <w:lang w:eastAsia="en-GB"/>
              </w:rPr>
              <w:t>47.0%</w:t>
            </w:r>
            <w:r>
              <w:rPr>
                <w:rFonts w:ascii="Arial" w:hAnsi="Arial" w:cs="Arial"/>
                <w:noProof/>
                <w:lang w:eastAsia="en-GB"/>
              </w:rPr>
              <w:t>.</w:t>
            </w:r>
          </w:p>
          <w:p w14:paraId="6EB01C21" w14:textId="1BE3805E" w:rsidR="00FC17A2" w:rsidRPr="00202300" w:rsidRDefault="00FC17A2" w:rsidP="00FC17A2">
            <w:pPr>
              <w:rPr>
                <w:rFonts w:ascii="Arial" w:hAnsi="Arial" w:cs="Arial"/>
                <w:noProof/>
                <w:lang w:eastAsia="en-GB"/>
              </w:rPr>
            </w:pPr>
          </w:p>
        </w:tc>
      </w:tr>
      <w:tr w:rsidR="00FC17A2" w:rsidRPr="00D65635" w14:paraId="2481DBD7" w14:textId="77777777" w:rsidTr="007036B1">
        <w:trPr>
          <w:trHeight w:val="830"/>
        </w:trPr>
        <w:tc>
          <w:tcPr>
            <w:tcW w:w="5382" w:type="dxa"/>
          </w:tcPr>
          <w:p w14:paraId="16F63A1E" w14:textId="07B3AD54" w:rsidR="00FC17A2" w:rsidRPr="00202300" w:rsidRDefault="00FC17A2" w:rsidP="00FC17A2">
            <w:pPr>
              <w:pStyle w:val="Pa0"/>
              <w:numPr>
                <w:ilvl w:val="0"/>
                <w:numId w:val="2"/>
              </w:numPr>
              <w:ind w:left="284" w:hanging="284"/>
              <w:rPr>
                <w:rFonts w:ascii="Arial" w:hAnsi="Arial" w:cs="Arial"/>
                <w:color w:val="000000"/>
                <w:sz w:val="22"/>
                <w:szCs w:val="22"/>
              </w:rPr>
            </w:pPr>
            <w:r w:rsidRPr="00202300">
              <w:rPr>
                <w:rStyle w:val="A7"/>
                <w:rFonts w:ascii="Arial" w:hAnsi="Arial" w:cs="Arial"/>
                <w:sz w:val="22"/>
                <w:szCs w:val="22"/>
              </w:rPr>
              <w:t xml:space="preserve">In the last 12 months have you personally experienced discrimination at work from any of the following? Manager/team leader or other colleagues. (Annual Staff Survey) </w:t>
            </w:r>
          </w:p>
          <w:p w14:paraId="7F205AC6" w14:textId="77777777" w:rsidR="00FC17A2" w:rsidRPr="00202300" w:rsidRDefault="00FC17A2" w:rsidP="00FC17A2">
            <w:pPr>
              <w:pStyle w:val="ListParagraph"/>
              <w:rPr>
                <w:rFonts w:ascii="Arial" w:hAnsi="Arial" w:cs="Arial"/>
              </w:rPr>
            </w:pPr>
          </w:p>
        </w:tc>
        <w:tc>
          <w:tcPr>
            <w:tcW w:w="992" w:type="dxa"/>
          </w:tcPr>
          <w:p w14:paraId="543B90E9" w14:textId="2DA391D0" w:rsidR="00FC17A2" w:rsidRPr="00202300" w:rsidRDefault="00FC17A2" w:rsidP="00FC17A2">
            <w:pPr>
              <w:jc w:val="center"/>
              <w:rPr>
                <w:rFonts w:ascii="Arial" w:hAnsi="Arial" w:cs="Arial"/>
                <w:noProof/>
                <w:lang w:eastAsia="en-GB"/>
              </w:rPr>
            </w:pPr>
            <w:r w:rsidRPr="00202300">
              <w:rPr>
                <w:rFonts w:ascii="Arial" w:hAnsi="Arial" w:cs="Arial"/>
                <w:noProof/>
                <w:lang w:eastAsia="en-GB"/>
              </w:rPr>
              <w:t>14.3%</w:t>
            </w:r>
          </w:p>
        </w:tc>
        <w:tc>
          <w:tcPr>
            <w:tcW w:w="992" w:type="dxa"/>
          </w:tcPr>
          <w:p w14:paraId="5EE6A182" w14:textId="6E315927" w:rsidR="00FC17A2" w:rsidRPr="00202300" w:rsidRDefault="00FC17A2" w:rsidP="00FC17A2">
            <w:pPr>
              <w:jc w:val="center"/>
              <w:rPr>
                <w:rFonts w:ascii="Arial" w:hAnsi="Arial" w:cs="Arial"/>
                <w:noProof/>
                <w:lang w:eastAsia="en-GB"/>
              </w:rPr>
            </w:pPr>
            <w:r w:rsidRPr="00202300">
              <w:rPr>
                <w:rFonts w:ascii="Arial" w:hAnsi="Arial" w:cs="Arial"/>
                <w:noProof/>
                <w:lang w:eastAsia="en-GB"/>
              </w:rPr>
              <w:t>12.7%</w:t>
            </w:r>
          </w:p>
        </w:tc>
        <w:tc>
          <w:tcPr>
            <w:tcW w:w="7797" w:type="dxa"/>
          </w:tcPr>
          <w:p w14:paraId="132F9436" w14:textId="57C46691" w:rsidR="00FC17A2" w:rsidRPr="00202300" w:rsidRDefault="00FC17A2" w:rsidP="00FC17A2">
            <w:pPr>
              <w:rPr>
                <w:rFonts w:ascii="Arial" w:hAnsi="Arial" w:cs="Arial"/>
                <w:noProof/>
                <w:lang w:eastAsia="en-GB"/>
              </w:rPr>
            </w:pPr>
            <w:r>
              <w:rPr>
                <w:rFonts w:ascii="Arial" w:hAnsi="Arial" w:cs="Arial"/>
                <w:noProof/>
                <w:lang w:eastAsia="en-GB"/>
              </w:rPr>
              <w:t>We have seen a reduction t</w:t>
            </w:r>
            <w:r w:rsidRPr="00202300">
              <w:rPr>
                <w:rFonts w:ascii="Arial" w:hAnsi="Arial" w:cs="Arial"/>
                <w:noProof/>
                <w:lang w:eastAsia="en-GB"/>
              </w:rPr>
              <w:t xml:space="preserve">he proportion of BME staff experiencing discrimination </w:t>
            </w:r>
            <w:r>
              <w:rPr>
                <w:rFonts w:ascii="Arial" w:hAnsi="Arial" w:cs="Arial"/>
                <w:noProof/>
                <w:lang w:eastAsia="en-GB"/>
              </w:rPr>
              <w:t xml:space="preserve">but this is an indicator that </w:t>
            </w:r>
            <w:r w:rsidRPr="00202300">
              <w:rPr>
                <w:rFonts w:ascii="Arial" w:hAnsi="Arial" w:cs="Arial"/>
                <w:noProof/>
                <w:lang w:eastAsia="en-GB"/>
              </w:rPr>
              <w:t xml:space="preserve">remains significantly higher for BME staff than </w:t>
            </w:r>
            <w:r>
              <w:rPr>
                <w:rFonts w:ascii="Arial" w:hAnsi="Arial" w:cs="Arial"/>
                <w:noProof/>
                <w:lang w:eastAsia="en-GB"/>
              </w:rPr>
              <w:t>W</w:t>
            </w:r>
            <w:r w:rsidRPr="00202300">
              <w:rPr>
                <w:rFonts w:ascii="Arial" w:hAnsi="Arial" w:cs="Arial"/>
                <w:noProof/>
                <w:lang w:eastAsia="en-GB"/>
              </w:rPr>
              <w:t xml:space="preserve">hite </w:t>
            </w:r>
            <w:r>
              <w:rPr>
                <w:rFonts w:ascii="Arial" w:hAnsi="Arial" w:cs="Arial"/>
                <w:noProof/>
                <w:lang w:eastAsia="en-GB"/>
              </w:rPr>
              <w:t xml:space="preserve">British </w:t>
            </w:r>
            <w:r w:rsidRPr="00202300">
              <w:rPr>
                <w:rFonts w:ascii="Arial" w:hAnsi="Arial" w:cs="Arial"/>
                <w:noProof/>
                <w:lang w:eastAsia="en-GB"/>
              </w:rPr>
              <w:t>staff</w:t>
            </w:r>
            <w:r>
              <w:rPr>
                <w:rFonts w:ascii="Arial" w:hAnsi="Arial" w:cs="Arial"/>
                <w:noProof/>
                <w:lang w:eastAsia="en-GB"/>
              </w:rPr>
              <w:t>.</w:t>
            </w:r>
          </w:p>
        </w:tc>
      </w:tr>
      <w:tr w:rsidR="00FC17A2" w:rsidRPr="00D65635" w14:paraId="3AED3E75" w14:textId="77777777" w:rsidTr="007036B1">
        <w:trPr>
          <w:trHeight w:val="550"/>
        </w:trPr>
        <w:tc>
          <w:tcPr>
            <w:tcW w:w="5382" w:type="dxa"/>
          </w:tcPr>
          <w:p w14:paraId="24DB9568" w14:textId="77777777" w:rsidR="00FC17A2" w:rsidRPr="00202300" w:rsidRDefault="00FC17A2" w:rsidP="00FC17A2">
            <w:pPr>
              <w:pStyle w:val="Pa0"/>
              <w:numPr>
                <w:ilvl w:val="0"/>
                <w:numId w:val="2"/>
              </w:numPr>
              <w:ind w:left="284" w:hanging="284"/>
              <w:rPr>
                <w:rFonts w:ascii="Arial" w:hAnsi="Arial" w:cs="Arial"/>
                <w:color w:val="000000"/>
                <w:sz w:val="22"/>
                <w:szCs w:val="22"/>
              </w:rPr>
            </w:pPr>
            <w:r w:rsidRPr="00202300">
              <w:rPr>
                <w:rStyle w:val="A7"/>
                <w:rFonts w:ascii="Arial" w:hAnsi="Arial" w:cs="Arial"/>
                <w:sz w:val="22"/>
                <w:szCs w:val="22"/>
              </w:rPr>
              <w:t>Percentage difference between the organisations’ Board voting membership and its overall workforce. (Workforce Data)</w:t>
            </w:r>
          </w:p>
          <w:p w14:paraId="16FF8981" w14:textId="77777777" w:rsidR="00FC17A2" w:rsidRPr="00202300" w:rsidRDefault="00FC17A2" w:rsidP="00FC17A2">
            <w:pPr>
              <w:pStyle w:val="ListParagraph"/>
              <w:rPr>
                <w:rFonts w:ascii="Arial" w:hAnsi="Arial" w:cs="Arial"/>
              </w:rPr>
            </w:pPr>
          </w:p>
        </w:tc>
        <w:tc>
          <w:tcPr>
            <w:tcW w:w="992" w:type="dxa"/>
          </w:tcPr>
          <w:p w14:paraId="201B59E9" w14:textId="341D0002" w:rsidR="00FC17A2" w:rsidRPr="00202300" w:rsidRDefault="00FC17A2" w:rsidP="00FC17A2">
            <w:pPr>
              <w:jc w:val="center"/>
              <w:rPr>
                <w:rFonts w:ascii="Arial" w:hAnsi="Arial" w:cs="Arial"/>
              </w:rPr>
            </w:pPr>
            <w:r w:rsidRPr="00202300">
              <w:rPr>
                <w:rFonts w:ascii="Arial" w:hAnsi="Arial" w:cs="Arial"/>
              </w:rPr>
              <w:t>-7.8%</w:t>
            </w:r>
          </w:p>
        </w:tc>
        <w:tc>
          <w:tcPr>
            <w:tcW w:w="992" w:type="dxa"/>
          </w:tcPr>
          <w:p w14:paraId="2B0154F8" w14:textId="52970EC4" w:rsidR="00FC17A2" w:rsidRPr="00202300" w:rsidRDefault="00FC17A2" w:rsidP="00FC17A2">
            <w:pPr>
              <w:jc w:val="center"/>
              <w:rPr>
                <w:rFonts w:ascii="Arial" w:hAnsi="Arial" w:cs="Arial"/>
              </w:rPr>
            </w:pPr>
            <w:r w:rsidRPr="00202300">
              <w:rPr>
                <w:rFonts w:ascii="Arial" w:hAnsi="Arial" w:cs="Arial"/>
              </w:rPr>
              <w:t>-3.7%</w:t>
            </w:r>
          </w:p>
        </w:tc>
        <w:tc>
          <w:tcPr>
            <w:tcW w:w="7797" w:type="dxa"/>
          </w:tcPr>
          <w:p w14:paraId="5C1799F1" w14:textId="53637EF1" w:rsidR="00FC17A2" w:rsidRPr="00202300" w:rsidRDefault="00FC17A2" w:rsidP="00FC17A2">
            <w:pPr>
              <w:rPr>
                <w:rFonts w:ascii="Arial" w:hAnsi="Arial" w:cs="Arial"/>
              </w:rPr>
            </w:pPr>
            <w:r w:rsidRPr="00202300">
              <w:rPr>
                <w:rFonts w:ascii="Arial" w:hAnsi="Arial" w:cs="Arial"/>
              </w:rPr>
              <w:t>The overall board BME % has increased, and the overall trust diversity position has increased. These two movements have reduced the gap between the board membership and the Trust BME split</w:t>
            </w:r>
            <w:r>
              <w:rPr>
                <w:rFonts w:ascii="Arial" w:hAnsi="Arial" w:cs="Arial"/>
              </w:rPr>
              <w:t>.</w:t>
            </w:r>
          </w:p>
        </w:tc>
      </w:tr>
    </w:tbl>
    <w:p w14:paraId="3A81E3FF" w14:textId="02BA0464" w:rsidR="00D57DA4" w:rsidRDefault="00D57DA4" w:rsidP="00E0448C">
      <w:pPr>
        <w:rPr>
          <w:rFonts w:ascii="Arial" w:hAnsi="Arial" w:cs="Arial"/>
          <w:sz w:val="18"/>
          <w:szCs w:val="18"/>
        </w:rPr>
      </w:pPr>
    </w:p>
    <w:p w14:paraId="6ACAD572" w14:textId="6E39DFC7" w:rsidR="00FC17A2" w:rsidRDefault="00FC17A2" w:rsidP="00FC17A2">
      <w:pPr>
        <w:ind w:left="284"/>
        <w:rPr>
          <w:rFonts w:ascii="Arial" w:hAnsi="Arial" w:cs="Arial"/>
          <w:b/>
          <w:bCs/>
        </w:rPr>
      </w:pPr>
      <w:r>
        <w:rPr>
          <w:rFonts w:ascii="Arial" w:hAnsi="Arial" w:cs="Arial"/>
          <w:b/>
          <w:bCs/>
        </w:rPr>
        <w:t>Medical Workforce Race Equality Standard</w:t>
      </w:r>
    </w:p>
    <w:tbl>
      <w:tblPr>
        <w:tblW w:w="15167" w:type="dxa"/>
        <w:tblInd w:w="279" w:type="dxa"/>
        <w:tblLayout w:type="fixed"/>
        <w:tblLook w:val="04A0" w:firstRow="1" w:lastRow="0" w:firstColumn="1" w:lastColumn="0" w:noHBand="0" w:noVBand="1"/>
      </w:tblPr>
      <w:tblGrid>
        <w:gridCol w:w="2835"/>
        <w:gridCol w:w="1245"/>
        <w:gridCol w:w="1108"/>
        <w:gridCol w:w="1109"/>
        <w:gridCol w:w="1109"/>
        <w:gridCol w:w="1108"/>
        <w:gridCol w:w="1109"/>
        <w:gridCol w:w="1109"/>
        <w:gridCol w:w="1108"/>
        <w:gridCol w:w="1109"/>
        <w:gridCol w:w="1109"/>
        <w:gridCol w:w="1109"/>
      </w:tblGrid>
      <w:tr w:rsidR="009F4D93" w:rsidRPr="007036B1" w14:paraId="39258B94" w14:textId="77777777" w:rsidTr="009F4D93">
        <w:trPr>
          <w:trHeight w:val="290"/>
        </w:trPr>
        <w:tc>
          <w:tcPr>
            <w:tcW w:w="2835" w:type="dxa"/>
            <w:vMerge w:val="restart"/>
            <w:tcBorders>
              <w:top w:val="single" w:sz="4" w:space="0" w:color="auto"/>
              <w:left w:val="single" w:sz="4" w:space="0" w:color="auto"/>
              <w:right w:val="single" w:sz="4" w:space="0" w:color="auto"/>
            </w:tcBorders>
            <w:shd w:val="clear" w:color="auto" w:fill="auto"/>
          </w:tcPr>
          <w:p w14:paraId="6526FB08" w14:textId="77777777" w:rsidR="009F4D93" w:rsidRPr="007036B1" w:rsidRDefault="009F4D93" w:rsidP="009F4D93">
            <w:pPr>
              <w:spacing w:after="0" w:line="240" w:lineRule="auto"/>
              <w:ind w:left="36"/>
              <w:rPr>
                <w:rFonts w:ascii="Arial" w:eastAsia="Times New Roman" w:hAnsi="Arial" w:cs="Arial"/>
                <w:color w:val="000000"/>
                <w:lang w:eastAsia="en-GB"/>
              </w:rPr>
            </w:pPr>
            <w:r w:rsidRPr="007036B1">
              <w:rPr>
                <w:rFonts w:ascii="Arial" w:eastAsia="Times New Roman" w:hAnsi="Arial" w:cs="Arial"/>
                <w:color w:val="000000"/>
                <w:lang w:eastAsia="en-GB"/>
              </w:rPr>
              <w:t>Metric 1:</w:t>
            </w:r>
          </w:p>
          <w:p w14:paraId="6F61FA85" w14:textId="73163761" w:rsidR="009F4D93" w:rsidRPr="007036B1" w:rsidRDefault="009F4D93" w:rsidP="009F4D93">
            <w:pPr>
              <w:spacing w:after="0" w:line="240" w:lineRule="auto"/>
              <w:ind w:left="36"/>
              <w:rPr>
                <w:rFonts w:ascii="Arial" w:eastAsia="Times New Roman" w:hAnsi="Arial" w:cs="Arial"/>
                <w:color w:val="000000"/>
                <w:lang w:eastAsia="en-GB"/>
              </w:rPr>
            </w:pPr>
            <w:r w:rsidRPr="007036B1">
              <w:rPr>
                <w:rFonts w:ascii="Arial" w:eastAsia="Times New Roman" w:hAnsi="Arial" w:cs="Arial"/>
                <w:color w:val="000000"/>
                <w:lang w:eastAsia="en-GB"/>
              </w:rPr>
              <w:t xml:space="preserve">The number of staff in each medical and dental subgroup, disaggregated by Ethnicity based on the workforce as </w:t>
            </w:r>
            <w:proofErr w:type="gramStart"/>
            <w:r w:rsidRPr="007036B1">
              <w:rPr>
                <w:rFonts w:ascii="Arial" w:eastAsia="Times New Roman" w:hAnsi="Arial" w:cs="Arial"/>
                <w:color w:val="000000"/>
                <w:lang w:eastAsia="en-GB"/>
              </w:rPr>
              <w:t>at</w:t>
            </w:r>
            <w:proofErr w:type="gramEnd"/>
            <w:r w:rsidRPr="007036B1">
              <w:rPr>
                <w:rFonts w:ascii="Arial" w:eastAsia="Times New Roman" w:hAnsi="Arial" w:cs="Arial"/>
                <w:color w:val="000000"/>
                <w:lang w:eastAsia="en-GB"/>
              </w:rPr>
              <w:t xml:space="preserve"> 31</w:t>
            </w:r>
            <w:r w:rsidRPr="007036B1">
              <w:rPr>
                <w:rFonts w:ascii="Arial" w:eastAsia="Times New Roman" w:hAnsi="Arial" w:cs="Arial"/>
                <w:color w:val="000000"/>
                <w:vertAlign w:val="superscript"/>
                <w:lang w:eastAsia="en-GB"/>
              </w:rPr>
              <w:t>st</w:t>
            </w:r>
            <w:r w:rsidRPr="007036B1">
              <w:rPr>
                <w:rFonts w:ascii="Arial" w:eastAsia="Times New Roman" w:hAnsi="Arial" w:cs="Arial"/>
                <w:color w:val="000000"/>
                <w:lang w:eastAsia="en-GB"/>
              </w:rPr>
              <w:t xml:space="preserve"> March of the reporting year.</w:t>
            </w:r>
          </w:p>
        </w:tc>
        <w:tc>
          <w:tcPr>
            <w:tcW w:w="1245"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hideMark/>
          </w:tcPr>
          <w:p w14:paraId="3440C9B2" w14:textId="77777777" w:rsidR="009F4D93" w:rsidRPr="007036B1" w:rsidRDefault="009F4D93" w:rsidP="009F4D93">
            <w:pPr>
              <w:spacing w:after="0" w:line="240" w:lineRule="auto"/>
              <w:rPr>
                <w:rFonts w:ascii="Arial" w:eastAsia="Times New Roman" w:hAnsi="Arial" w:cs="Arial"/>
                <w:color w:val="000000"/>
                <w:lang w:eastAsia="en-GB"/>
              </w:rPr>
            </w:pPr>
            <w:r w:rsidRPr="009F4D93">
              <w:rPr>
                <w:rFonts w:ascii="Arial" w:eastAsia="Times New Roman" w:hAnsi="Arial" w:cs="Arial"/>
                <w:color w:val="000000"/>
                <w:lang w:eastAsia="en-GB"/>
              </w:rPr>
              <w:t> </w:t>
            </w:r>
          </w:p>
          <w:p w14:paraId="60543138" w14:textId="34868B48" w:rsidR="009F4D93" w:rsidRPr="009F4D93" w:rsidRDefault="009F4D93" w:rsidP="009F4D93">
            <w:pPr>
              <w:spacing w:after="0" w:line="240" w:lineRule="auto"/>
              <w:rPr>
                <w:rFonts w:ascii="Arial" w:eastAsia="Times New Roman" w:hAnsi="Arial" w:cs="Arial"/>
                <w:color w:val="000000"/>
                <w:lang w:eastAsia="en-GB"/>
              </w:rPr>
            </w:pPr>
            <w:r w:rsidRPr="009F4D93">
              <w:rPr>
                <w:rFonts w:ascii="Arial" w:eastAsia="Times New Roman" w:hAnsi="Arial" w:cs="Arial"/>
                <w:color w:val="000000"/>
                <w:lang w:eastAsia="en-GB"/>
              </w:rPr>
              <w:t> </w:t>
            </w:r>
          </w:p>
        </w:tc>
        <w:tc>
          <w:tcPr>
            <w:tcW w:w="1108" w:type="dxa"/>
            <w:tcBorders>
              <w:top w:val="single" w:sz="4" w:space="0" w:color="auto"/>
              <w:left w:val="nil"/>
              <w:bottom w:val="single" w:sz="4" w:space="0" w:color="auto"/>
              <w:right w:val="single" w:sz="4" w:space="0" w:color="auto"/>
            </w:tcBorders>
            <w:shd w:val="clear" w:color="000000" w:fill="B4C6E7"/>
            <w:vAlign w:val="bottom"/>
            <w:hideMark/>
          </w:tcPr>
          <w:p w14:paraId="18F11321"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109" w:type="dxa"/>
            <w:tcBorders>
              <w:top w:val="single" w:sz="4" w:space="0" w:color="auto"/>
              <w:left w:val="nil"/>
              <w:bottom w:val="single" w:sz="4" w:space="0" w:color="auto"/>
              <w:right w:val="single" w:sz="4" w:space="0" w:color="auto"/>
            </w:tcBorders>
            <w:shd w:val="clear" w:color="000000" w:fill="B4C6E7"/>
            <w:vAlign w:val="bottom"/>
            <w:hideMark/>
          </w:tcPr>
          <w:p w14:paraId="73778E09"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109" w:type="dxa"/>
            <w:tcBorders>
              <w:top w:val="single" w:sz="4" w:space="0" w:color="auto"/>
              <w:left w:val="nil"/>
              <w:bottom w:val="single" w:sz="4" w:space="0" w:color="auto"/>
              <w:right w:val="single" w:sz="4" w:space="0" w:color="auto"/>
            </w:tcBorders>
            <w:shd w:val="clear" w:color="000000" w:fill="B4C6E7"/>
            <w:vAlign w:val="bottom"/>
            <w:hideMark/>
          </w:tcPr>
          <w:p w14:paraId="4C90E030"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108" w:type="dxa"/>
            <w:tcBorders>
              <w:top w:val="single" w:sz="4" w:space="0" w:color="auto"/>
              <w:left w:val="nil"/>
              <w:bottom w:val="single" w:sz="4" w:space="0" w:color="auto"/>
              <w:right w:val="single" w:sz="4" w:space="0" w:color="auto"/>
            </w:tcBorders>
            <w:shd w:val="clear" w:color="000000" w:fill="B4C6E7"/>
            <w:vAlign w:val="bottom"/>
            <w:hideMark/>
          </w:tcPr>
          <w:p w14:paraId="6CF56115"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109" w:type="dxa"/>
            <w:tcBorders>
              <w:top w:val="single" w:sz="4" w:space="0" w:color="auto"/>
              <w:left w:val="nil"/>
              <w:bottom w:val="single" w:sz="4" w:space="0" w:color="auto"/>
              <w:right w:val="single" w:sz="4" w:space="0" w:color="auto"/>
            </w:tcBorders>
            <w:shd w:val="clear" w:color="000000" w:fill="B4C6E7"/>
            <w:vAlign w:val="bottom"/>
            <w:hideMark/>
          </w:tcPr>
          <w:p w14:paraId="1C9A660E"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109" w:type="dxa"/>
            <w:tcBorders>
              <w:top w:val="single" w:sz="4" w:space="0" w:color="auto"/>
              <w:left w:val="nil"/>
              <w:bottom w:val="single" w:sz="4" w:space="0" w:color="auto"/>
              <w:right w:val="single" w:sz="4" w:space="0" w:color="auto"/>
            </w:tcBorders>
            <w:shd w:val="clear" w:color="000000" w:fill="B4C6E7"/>
            <w:vAlign w:val="bottom"/>
            <w:hideMark/>
          </w:tcPr>
          <w:p w14:paraId="6A49F1A3"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108" w:type="dxa"/>
            <w:tcBorders>
              <w:top w:val="single" w:sz="4" w:space="0" w:color="auto"/>
              <w:left w:val="nil"/>
              <w:bottom w:val="single" w:sz="4" w:space="0" w:color="auto"/>
              <w:right w:val="single" w:sz="4" w:space="0" w:color="auto"/>
            </w:tcBorders>
            <w:shd w:val="clear" w:color="000000" w:fill="B4C6E7"/>
            <w:vAlign w:val="bottom"/>
            <w:hideMark/>
          </w:tcPr>
          <w:p w14:paraId="31C7F027"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109" w:type="dxa"/>
            <w:tcBorders>
              <w:top w:val="single" w:sz="4" w:space="0" w:color="auto"/>
              <w:left w:val="nil"/>
              <w:bottom w:val="single" w:sz="4" w:space="0" w:color="auto"/>
              <w:right w:val="single" w:sz="4" w:space="0" w:color="auto"/>
            </w:tcBorders>
            <w:shd w:val="clear" w:color="000000" w:fill="B4C6E7"/>
            <w:vAlign w:val="bottom"/>
            <w:hideMark/>
          </w:tcPr>
          <w:p w14:paraId="5E54DE42"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109" w:type="dxa"/>
            <w:tcBorders>
              <w:top w:val="single" w:sz="4" w:space="0" w:color="auto"/>
              <w:left w:val="nil"/>
              <w:bottom w:val="single" w:sz="4" w:space="0" w:color="auto"/>
              <w:right w:val="single" w:sz="4" w:space="0" w:color="auto"/>
            </w:tcBorders>
            <w:shd w:val="clear" w:color="000000" w:fill="B4C6E7"/>
            <w:vAlign w:val="bottom"/>
            <w:hideMark/>
          </w:tcPr>
          <w:p w14:paraId="78DF7EDD"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109" w:type="dxa"/>
            <w:tcBorders>
              <w:top w:val="single" w:sz="4" w:space="0" w:color="auto"/>
              <w:left w:val="nil"/>
              <w:bottom w:val="single" w:sz="4" w:space="0" w:color="auto"/>
              <w:right w:val="single" w:sz="4" w:space="0" w:color="auto"/>
            </w:tcBorders>
            <w:shd w:val="clear" w:color="000000" w:fill="B4C6E7"/>
            <w:vAlign w:val="bottom"/>
            <w:hideMark/>
          </w:tcPr>
          <w:p w14:paraId="3112CBEA"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r>
      <w:tr w:rsidR="009F4D93" w:rsidRPr="007036B1" w14:paraId="6D7AF989" w14:textId="77777777" w:rsidTr="009F4D93">
        <w:trPr>
          <w:trHeight w:val="580"/>
        </w:trPr>
        <w:tc>
          <w:tcPr>
            <w:tcW w:w="2835" w:type="dxa"/>
            <w:vMerge/>
            <w:tcBorders>
              <w:left w:val="single" w:sz="4" w:space="0" w:color="auto"/>
              <w:right w:val="single" w:sz="4" w:space="0" w:color="auto"/>
            </w:tcBorders>
            <w:shd w:val="clear" w:color="auto" w:fill="auto"/>
          </w:tcPr>
          <w:p w14:paraId="271E94C2" w14:textId="77777777" w:rsidR="009F4D93" w:rsidRPr="007036B1" w:rsidRDefault="009F4D93" w:rsidP="009F4D93">
            <w:pPr>
              <w:spacing w:after="0" w:line="240" w:lineRule="auto"/>
              <w:ind w:left="174"/>
              <w:rPr>
                <w:rFonts w:ascii="Arial" w:eastAsia="Times New Roman" w:hAnsi="Arial" w:cs="Arial"/>
                <w:color w:val="000000"/>
                <w:lang w:eastAsia="en-GB"/>
              </w:rPr>
            </w:pPr>
          </w:p>
        </w:tc>
        <w:tc>
          <w:tcPr>
            <w:tcW w:w="1245"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70686FC0" w14:textId="549D5E8A" w:rsidR="009F4D93" w:rsidRPr="009F4D93" w:rsidRDefault="009F4D93" w:rsidP="009F4D93">
            <w:pPr>
              <w:spacing w:after="0" w:line="240" w:lineRule="auto"/>
              <w:rPr>
                <w:rFonts w:ascii="Arial" w:eastAsia="Times New Roman" w:hAnsi="Arial" w:cs="Arial"/>
                <w:color w:val="000000"/>
                <w:lang w:eastAsia="en-GB"/>
              </w:rPr>
            </w:pPr>
          </w:p>
        </w:tc>
        <w:tc>
          <w:tcPr>
            <w:tcW w:w="1108" w:type="dxa"/>
            <w:tcBorders>
              <w:top w:val="nil"/>
              <w:left w:val="nil"/>
              <w:bottom w:val="single" w:sz="4" w:space="0" w:color="auto"/>
              <w:right w:val="single" w:sz="4" w:space="0" w:color="auto"/>
            </w:tcBorders>
            <w:shd w:val="clear" w:color="000000" w:fill="B4C6E7"/>
            <w:vAlign w:val="bottom"/>
            <w:hideMark/>
          </w:tcPr>
          <w:p w14:paraId="7194016C"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White</w:t>
            </w:r>
          </w:p>
        </w:tc>
        <w:tc>
          <w:tcPr>
            <w:tcW w:w="1109" w:type="dxa"/>
            <w:tcBorders>
              <w:top w:val="nil"/>
              <w:left w:val="nil"/>
              <w:bottom w:val="single" w:sz="4" w:space="0" w:color="auto"/>
              <w:right w:val="single" w:sz="4" w:space="0" w:color="auto"/>
            </w:tcBorders>
            <w:shd w:val="clear" w:color="000000" w:fill="B4C6E7"/>
            <w:vAlign w:val="bottom"/>
            <w:hideMark/>
          </w:tcPr>
          <w:p w14:paraId="560782FF"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Black</w:t>
            </w:r>
          </w:p>
        </w:tc>
        <w:tc>
          <w:tcPr>
            <w:tcW w:w="1109" w:type="dxa"/>
            <w:tcBorders>
              <w:top w:val="nil"/>
              <w:left w:val="nil"/>
              <w:bottom w:val="single" w:sz="4" w:space="0" w:color="auto"/>
              <w:right w:val="single" w:sz="4" w:space="0" w:color="auto"/>
            </w:tcBorders>
            <w:shd w:val="clear" w:color="000000" w:fill="B4C6E7"/>
            <w:vAlign w:val="bottom"/>
            <w:hideMark/>
          </w:tcPr>
          <w:p w14:paraId="793946BA"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Asian</w:t>
            </w:r>
          </w:p>
        </w:tc>
        <w:tc>
          <w:tcPr>
            <w:tcW w:w="1108" w:type="dxa"/>
            <w:tcBorders>
              <w:top w:val="nil"/>
              <w:left w:val="nil"/>
              <w:bottom w:val="single" w:sz="4" w:space="0" w:color="auto"/>
              <w:right w:val="single" w:sz="4" w:space="0" w:color="auto"/>
            </w:tcBorders>
            <w:shd w:val="clear" w:color="000000" w:fill="B4C6E7"/>
            <w:vAlign w:val="bottom"/>
            <w:hideMark/>
          </w:tcPr>
          <w:p w14:paraId="255B4276"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 xml:space="preserve">Other </w:t>
            </w:r>
          </w:p>
        </w:tc>
        <w:tc>
          <w:tcPr>
            <w:tcW w:w="1109" w:type="dxa"/>
            <w:tcBorders>
              <w:top w:val="nil"/>
              <w:left w:val="nil"/>
              <w:bottom w:val="single" w:sz="4" w:space="0" w:color="auto"/>
              <w:right w:val="single" w:sz="4" w:space="0" w:color="auto"/>
            </w:tcBorders>
            <w:shd w:val="clear" w:color="000000" w:fill="B4C6E7"/>
            <w:vAlign w:val="bottom"/>
            <w:hideMark/>
          </w:tcPr>
          <w:p w14:paraId="39116A21"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Not Known</w:t>
            </w:r>
          </w:p>
        </w:tc>
        <w:tc>
          <w:tcPr>
            <w:tcW w:w="1109" w:type="dxa"/>
            <w:tcBorders>
              <w:top w:val="nil"/>
              <w:left w:val="nil"/>
              <w:bottom w:val="single" w:sz="4" w:space="0" w:color="auto"/>
              <w:right w:val="single" w:sz="4" w:space="0" w:color="auto"/>
            </w:tcBorders>
            <w:shd w:val="clear" w:color="000000" w:fill="B4C6E7"/>
            <w:vAlign w:val="bottom"/>
            <w:hideMark/>
          </w:tcPr>
          <w:p w14:paraId="6C2155D8"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White</w:t>
            </w:r>
          </w:p>
        </w:tc>
        <w:tc>
          <w:tcPr>
            <w:tcW w:w="1108" w:type="dxa"/>
            <w:tcBorders>
              <w:top w:val="nil"/>
              <w:left w:val="nil"/>
              <w:bottom w:val="single" w:sz="4" w:space="0" w:color="auto"/>
              <w:right w:val="single" w:sz="4" w:space="0" w:color="auto"/>
            </w:tcBorders>
            <w:shd w:val="clear" w:color="000000" w:fill="B4C6E7"/>
            <w:vAlign w:val="bottom"/>
            <w:hideMark/>
          </w:tcPr>
          <w:p w14:paraId="55E721D9"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Black</w:t>
            </w:r>
          </w:p>
        </w:tc>
        <w:tc>
          <w:tcPr>
            <w:tcW w:w="1109" w:type="dxa"/>
            <w:tcBorders>
              <w:top w:val="nil"/>
              <w:left w:val="nil"/>
              <w:bottom w:val="single" w:sz="4" w:space="0" w:color="auto"/>
              <w:right w:val="single" w:sz="4" w:space="0" w:color="auto"/>
            </w:tcBorders>
            <w:shd w:val="clear" w:color="000000" w:fill="B4C6E7"/>
            <w:vAlign w:val="bottom"/>
            <w:hideMark/>
          </w:tcPr>
          <w:p w14:paraId="1F0A6EB5"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Asian</w:t>
            </w:r>
          </w:p>
        </w:tc>
        <w:tc>
          <w:tcPr>
            <w:tcW w:w="1109" w:type="dxa"/>
            <w:tcBorders>
              <w:top w:val="nil"/>
              <w:left w:val="nil"/>
              <w:bottom w:val="single" w:sz="4" w:space="0" w:color="auto"/>
              <w:right w:val="single" w:sz="4" w:space="0" w:color="auto"/>
            </w:tcBorders>
            <w:shd w:val="clear" w:color="000000" w:fill="B4C6E7"/>
            <w:vAlign w:val="bottom"/>
            <w:hideMark/>
          </w:tcPr>
          <w:p w14:paraId="6E45C64E"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 xml:space="preserve">Other </w:t>
            </w:r>
          </w:p>
        </w:tc>
        <w:tc>
          <w:tcPr>
            <w:tcW w:w="1109" w:type="dxa"/>
            <w:tcBorders>
              <w:top w:val="nil"/>
              <w:left w:val="nil"/>
              <w:bottom w:val="single" w:sz="4" w:space="0" w:color="auto"/>
              <w:right w:val="single" w:sz="4" w:space="0" w:color="auto"/>
            </w:tcBorders>
            <w:shd w:val="clear" w:color="000000" w:fill="B4C6E7"/>
            <w:vAlign w:val="bottom"/>
            <w:hideMark/>
          </w:tcPr>
          <w:p w14:paraId="05D59327"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Not Known</w:t>
            </w:r>
          </w:p>
        </w:tc>
      </w:tr>
      <w:tr w:rsidR="009F4D93" w:rsidRPr="007036B1" w14:paraId="5E496DD9" w14:textId="77777777" w:rsidTr="009F4D93">
        <w:trPr>
          <w:trHeight w:val="290"/>
        </w:trPr>
        <w:tc>
          <w:tcPr>
            <w:tcW w:w="2835" w:type="dxa"/>
            <w:vMerge/>
            <w:tcBorders>
              <w:left w:val="single" w:sz="4" w:space="0" w:color="auto"/>
              <w:right w:val="single" w:sz="4" w:space="0" w:color="auto"/>
            </w:tcBorders>
            <w:shd w:val="clear" w:color="auto" w:fill="auto"/>
          </w:tcPr>
          <w:p w14:paraId="64F02FA5" w14:textId="77777777" w:rsidR="009F4D93" w:rsidRPr="007036B1" w:rsidRDefault="009F4D93" w:rsidP="009F4D93">
            <w:pPr>
              <w:spacing w:after="0" w:line="240" w:lineRule="auto"/>
              <w:ind w:left="174"/>
              <w:rPr>
                <w:rFonts w:ascii="Arial" w:eastAsia="Times New Roman" w:hAnsi="Arial" w:cs="Arial"/>
                <w:color w:val="000000"/>
                <w:lang w:eastAsia="en-GB"/>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21C3E9B8" w14:textId="5B3D97AA" w:rsidR="009F4D93" w:rsidRPr="009F4D93" w:rsidRDefault="009F4D93" w:rsidP="009F4D93">
            <w:pPr>
              <w:spacing w:after="0" w:line="240" w:lineRule="auto"/>
              <w:rPr>
                <w:rFonts w:ascii="Arial" w:eastAsia="Times New Roman" w:hAnsi="Arial" w:cs="Arial"/>
                <w:color w:val="000000"/>
                <w:lang w:eastAsia="en-GB"/>
              </w:rPr>
            </w:pPr>
            <w:r w:rsidRPr="009F4D93">
              <w:rPr>
                <w:rFonts w:ascii="Arial" w:eastAsia="Times New Roman" w:hAnsi="Arial" w:cs="Arial"/>
                <w:color w:val="000000"/>
                <w:lang w:eastAsia="en-GB"/>
              </w:rPr>
              <w:t>Medical Director</w:t>
            </w:r>
          </w:p>
        </w:tc>
        <w:tc>
          <w:tcPr>
            <w:tcW w:w="1108" w:type="dxa"/>
            <w:tcBorders>
              <w:top w:val="nil"/>
              <w:left w:val="nil"/>
              <w:bottom w:val="single" w:sz="4" w:space="0" w:color="auto"/>
              <w:right w:val="single" w:sz="4" w:space="0" w:color="auto"/>
            </w:tcBorders>
            <w:shd w:val="clear" w:color="auto" w:fill="auto"/>
            <w:noWrap/>
            <w:vAlign w:val="bottom"/>
            <w:hideMark/>
          </w:tcPr>
          <w:p w14:paraId="73E9EF83"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1</w:t>
            </w:r>
          </w:p>
        </w:tc>
        <w:tc>
          <w:tcPr>
            <w:tcW w:w="1109" w:type="dxa"/>
            <w:tcBorders>
              <w:top w:val="nil"/>
              <w:left w:val="nil"/>
              <w:bottom w:val="single" w:sz="4" w:space="0" w:color="auto"/>
              <w:right w:val="single" w:sz="4" w:space="0" w:color="auto"/>
            </w:tcBorders>
            <w:shd w:val="clear" w:color="auto" w:fill="auto"/>
            <w:noWrap/>
            <w:vAlign w:val="bottom"/>
            <w:hideMark/>
          </w:tcPr>
          <w:p w14:paraId="70967337"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56CF0448"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8" w:type="dxa"/>
            <w:tcBorders>
              <w:top w:val="nil"/>
              <w:left w:val="nil"/>
              <w:bottom w:val="single" w:sz="4" w:space="0" w:color="auto"/>
              <w:right w:val="single" w:sz="4" w:space="0" w:color="auto"/>
            </w:tcBorders>
            <w:shd w:val="clear" w:color="auto" w:fill="auto"/>
            <w:noWrap/>
            <w:vAlign w:val="bottom"/>
            <w:hideMark/>
          </w:tcPr>
          <w:p w14:paraId="5EE42F5F"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72FA3AF5"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04B4B4FB"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1</w:t>
            </w:r>
          </w:p>
        </w:tc>
        <w:tc>
          <w:tcPr>
            <w:tcW w:w="1108" w:type="dxa"/>
            <w:tcBorders>
              <w:top w:val="nil"/>
              <w:left w:val="nil"/>
              <w:bottom w:val="single" w:sz="4" w:space="0" w:color="auto"/>
              <w:right w:val="single" w:sz="4" w:space="0" w:color="auto"/>
            </w:tcBorders>
            <w:shd w:val="clear" w:color="auto" w:fill="auto"/>
            <w:noWrap/>
            <w:vAlign w:val="bottom"/>
            <w:hideMark/>
          </w:tcPr>
          <w:p w14:paraId="238FAAEC"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599CD9E1"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715F64C7"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73AA108A"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r>
      <w:tr w:rsidR="009F4D93" w:rsidRPr="007036B1" w14:paraId="5E4861CA" w14:textId="77777777" w:rsidTr="009F4D93">
        <w:trPr>
          <w:trHeight w:val="290"/>
        </w:trPr>
        <w:tc>
          <w:tcPr>
            <w:tcW w:w="2835" w:type="dxa"/>
            <w:vMerge/>
            <w:tcBorders>
              <w:left w:val="single" w:sz="4" w:space="0" w:color="auto"/>
              <w:bottom w:val="single" w:sz="4" w:space="0" w:color="auto"/>
              <w:right w:val="single" w:sz="4" w:space="0" w:color="auto"/>
            </w:tcBorders>
            <w:shd w:val="clear" w:color="auto" w:fill="auto"/>
          </w:tcPr>
          <w:p w14:paraId="31D0E279" w14:textId="77777777" w:rsidR="009F4D93" w:rsidRPr="007036B1" w:rsidRDefault="009F4D93" w:rsidP="009F4D93">
            <w:pPr>
              <w:spacing w:after="0" w:line="240" w:lineRule="auto"/>
              <w:ind w:left="174"/>
              <w:rPr>
                <w:rFonts w:ascii="Arial" w:eastAsia="Times New Roman" w:hAnsi="Arial" w:cs="Arial"/>
                <w:color w:val="000000"/>
                <w:lang w:eastAsia="en-GB"/>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42081771" w14:textId="4D5E2E55" w:rsidR="009F4D93" w:rsidRPr="009F4D93" w:rsidRDefault="009F4D93" w:rsidP="009F4D93">
            <w:pPr>
              <w:spacing w:after="0" w:line="240" w:lineRule="auto"/>
              <w:rPr>
                <w:rFonts w:ascii="Arial" w:eastAsia="Times New Roman" w:hAnsi="Arial" w:cs="Arial"/>
                <w:color w:val="000000"/>
                <w:lang w:eastAsia="en-GB"/>
              </w:rPr>
            </w:pPr>
            <w:r w:rsidRPr="007036B1">
              <w:rPr>
                <w:rFonts w:ascii="Arial" w:eastAsia="Times New Roman" w:hAnsi="Arial" w:cs="Arial"/>
                <w:color w:val="000000"/>
                <w:lang w:eastAsia="en-GB"/>
              </w:rPr>
              <w:t>Clinical</w:t>
            </w:r>
            <w:r w:rsidRPr="009F4D93">
              <w:rPr>
                <w:rFonts w:ascii="Arial" w:eastAsia="Times New Roman" w:hAnsi="Arial" w:cs="Arial"/>
                <w:color w:val="000000"/>
                <w:lang w:eastAsia="en-GB"/>
              </w:rPr>
              <w:t xml:space="preserve"> Directors</w:t>
            </w:r>
          </w:p>
        </w:tc>
        <w:tc>
          <w:tcPr>
            <w:tcW w:w="1108" w:type="dxa"/>
            <w:tcBorders>
              <w:top w:val="nil"/>
              <w:left w:val="nil"/>
              <w:bottom w:val="single" w:sz="4" w:space="0" w:color="auto"/>
              <w:right w:val="single" w:sz="4" w:space="0" w:color="auto"/>
            </w:tcBorders>
            <w:shd w:val="clear" w:color="auto" w:fill="auto"/>
            <w:noWrap/>
            <w:vAlign w:val="bottom"/>
            <w:hideMark/>
          </w:tcPr>
          <w:p w14:paraId="4B781C52"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3</w:t>
            </w:r>
          </w:p>
        </w:tc>
        <w:tc>
          <w:tcPr>
            <w:tcW w:w="1109" w:type="dxa"/>
            <w:tcBorders>
              <w:top w:val="nil"/>
              <w:left w:val="nil"/>
              <w:bottom w:val="single" w:sz="4" w:space="0" w:color="auto"/>
              <w:right w:val="single" w:sz="4" w:space="0" w:color="auto"/>
            </w:tcBorders>
            <w:shd w:val="clear" w:color="auto" w:fill="auto"/>
            <w:noWrap/>
            <w:vAlign w:val="bottom"/>
            <w:hideMark/>
          </w:tcPr>
          <w:p w14:paraId="59E36090"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02FC47F0"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w:t>
            </w:r>
          </w:p>
        </w:tc>
        <w:tc>
          <w:tcPr>
            <w:tcW w:w="1108" w:type="dxa"/>
            <w:tcBorders>
              <w:top w:val="nil"/>
              <w:left w:val="nil"/>
              <w:bottom w:val="single" w:sz="4" w:space="0" w:color="auto"/>
              <w:right w:val="single" w:sz="4" w:space="0" w:color="auto"/>
            </w:tcBorders>
            <w:shd w:val="clear" w:color="auto" w:fill="auto"/>
            <w:noWrap/>
            <w:vAlign w:val="bottom"/>
            <w:hideMark/>
          </w:tcPr>
          <w:p w14:paraId="23606A93"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44E55F92"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2E905089"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3</w:t>
            </w:r>
          </w:p>
        </w:tc>
        <w:tc>
          <w:tcPr>
            <w:tcW w:w="1108" w:type="dxa"/>
            <w:tcBorders>
              <w:top w:val="nil"/>
              <w:left w:val="nil"/>
              <w:bottom w:val="single" w:sz="4" w:space="0" w:color="auto"/>
              <w:right w:val="single" w:sz="4" w:space="0" w:color="auto"/>
            </w:tcBorders>
            <w:shd w:val="clear" w:color="auto" w:fill="auto"/>
            <w:noWrap/>
            <w:vAlign w:val="bottom"/>
            <w:hideMark/>
          </w:tcPr>
          <w:p w14:paraId="716E7235"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35203E4F"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2</w:t>
            </w:r>
          </w:p>
        </w:tc>
        <w:tc>
          <w:tcPr>
            <w:tcW w:w="1109" w:type="dxa"/>
            <w:tcBorders>
              <w:top w:val="nil"/>
              <w:left w:val="nil"/>
              <w:bottom w:val="single" w:sz="4" w:space="0" w:color="auto"/>
              <w:right w:val="single" w:sz="4" w:space="0" w:color="auto"/>
            </w:tcBorders>
            <w:shd w:val="clear" w:color="auto" w:fill="auto"/>
            <w:noWrap/>
            <w:vAlign w:val="bottom"/>
            <w:hideMark/>
          </w:tcPr>
          <w:p w14:paraId="31033BA2"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c>
          <w:tcPr>
            <w:tcW w:w="1109" w:type="dxa"/>
            <w:tcBorders>
              <w:top w:val="nil"/>
              <w:left w:val="nil"/>
              <w:bottom w:val="single" w:sz="4" w:space="0" w:color="auto"/>
              <w:right w:val="single" w:sz="4" w:space="0" w:color="auto"/>
            </w:tcBorders>
            <w:shd w:val="clear" w:color="auto" w:fill="auto"/>
            <w:noWrap/>
            <w:vAlign w:val="bottom"/>
            <w:hideMark/>
          </w:tcPr>
          <w:p w14:paraId="64139502" w14:textId="77777777" w:rsidR="009F4D93" w:rsidRPr="009F4D93" w:rsidRDefault="009F4D93" w:rsidP="009F4D93">
            <w:pPr>
              <w:spacing w:after="0" w:line="240" w:lineRule="auto"/>
              <w:jc w:val="center"/>
              <w:rPr>
                <w:rFonts w:ascii="Arial" w:eastAsia="Times New Roman" w:hAnsi="Arial" w:cs="Arial"/>
                <w:color w:val="000000"/>
                <w:lang w:eastAsia="en-GB"/>
              </w:rPr>
            </w:pPr>
            <w:r w:rsidRPr="009F4D93">
              <w:rPr>
                <w:rFonts w:ascii="Arial" w:eastAsia="Times New Roman" w:hAnsi="Arial" w:cs="Arial"/>
                <w:color w:val="000000"/>
                <w:lang w:eastAsia="en-GB"/>
              </w:rPr>
              <w:t>0</w:t>
            </w:r>
          </w:p>
        </w:tc>
      </w:tr>
    </w:tbl>
    <w:p w14:paraId="3D4AC0BE" w14:textId="2B09CA21" w:rsidR="009F4D93" w:rsidRDefault="009F4D93" w:rsidP="00FC17A2">
      <w:pPr>
        <w:ind w:left="284"/>
        <w:rPr>
          <w:rFonts w:ascii="Arial" w:hAnsi="Arial" w:cs="Arial"/>
        </w:rPr>
      </w:pPr>
    </w:p>
    <w:p w14:paraId="319C2104" w14:textId="77777777" w:rsidR="007036B1" w:rsidRPr="009F4D93" w:rsidRDefault="007036B1" w:rsidP="00FC17A2">
      <w:pPr>
        <w:ind w:left="284"/>
        <w:rPr>
          <w:rFonts w:ascii="Arial" w:hAnsi="Arial" w:cs="Arial"/>
        </w:rPr>
      </w:pPr>
    </w:p>
    <w:tbl>
      <w:tblPr>
        <w:tblStyle w:val="TableGrid"/>
        <w:tblW w:w="15136" w:type="dxa"/>
        <w:tblInd w:w="279" w:type="dxa"/>
        <w:tblLayout w:type="fixed"/>
        <w:tblLook w:val="04A0" w:firstRow="1" w:lastRow="0" w:firstColumn="1" w:lastColumn="0" w:noHBand="0" w:noVBand="1"/>
      </w:tblPr>
      <w:tblGrid>
        <w:gridCol w:w="2835"/>
        <w:gridCol w:w="1230"/>
        <w:gridCol w:w="1230"/>
        <w:gridCol w:w="1230"/>
        <w:gridCol w:w="1230"/>
        <w:gridCol w:w="1230"/>
        <w:gridCol w:w="1230"/>
        <w:gridCol w:w="1230"/>
        <w:gridCol w:w="1230"/>
        <w:gridCol w:w="1230"/>
        <w:gridCol w:w="1231"/>
      </w:tblGrid>
      <w:tr w:rsidR="009F4D93" w:rsidRPr="007036B1" w14:paraId="71D42E5B" w14:textId="77777777" w:rsidTr="000E72E0">
        <w:trPr>
          <w:trHeight w:val="290"/>
        </w:trPr>
        <w:tc>
          <w:tcPr>
            <w:tcW w:w="2835" w:type="dxa"/>
            <w:vMerge w:val="restart"/>
            <w:noWrap/>
            <w:hideMark/>
          </w:tcPr>
          <w:p w14:paraId="71423543" w14:textId="49ADC123" w:rsidR="009F4D93" w:rsidRPr="007036B1" w:rsidRDefault="009F4D93" w:rsidP="009F4D93">
            <w:pPr>
              <w:rPr>
                <w:rFonts w:ascii="Arial" w:eastAsia="Times New Roman" w:hAnsi="Arial" w:cs="Arial"/>
                <w:color w:val="000000"/>
                <w:lang w:eastAsia="en-GB"/>
              </w:rPr>
            </w:pPr>
            <w:r w:rsidRPr="007036B1">
              <w:rPr>
                <w:rFonts w:ascii="Arial" w:eastAsia="Times New Roman" w:hAnsi="Arial" w:cs="Arial"/>
                <w:color w:val="000000"/>
                <w:lang w:eastAsia="en-GB"/>
              </w:rPr>
              <w:lastRenderedPageBreak/>
              <w:t>Metric 1b:</w:t>
            </w:r>
          </w:p>
          <w:p w14:paraId="01177BB8" w14:textId="00337284" w:rsidR="009F4D93" w:rsidRPr="009F4D93" w:rsidRDefault="009F4D93" w:rsidP="008E3BD4">
            <w:pPr>
              <w:rPr>
                <w:rFonts w:ascii="Arial" w:eastAsia="Times New Roman" w:hAnsi="Arial" w:cs="Arial"/>
                <w:color w:val="000000"/>
                <w:lang w:eastAsia="en-GB"/>
              </w:rPr>
            </w:pPr>
            <w:r w:rsidRPr="007036B1">
              <w:rPr>
                <w:rFonts w:ascii="Arial" w:eastAsia="Times New Roman" w:hAnsi="Arial" w:cs="Arial"/>
                <w:color w:val="000000"/>
                <w:lang w:eastAsia="en-GB"/>
              </w:rPr>
              <w:t xml:space="preserve">The number of staff eligible for, who applied for, </w:t>
            </w:r>
            <w:r w:rsidR="008E3BD4" w:rsidRPr="007036B1">
              <w:rPr>
                <w:rFonts w:ascii="Arial" w:eastAsia="Times New Roman" w:hAnsi="Arial" w:cs="Arial"/>
                <w:color w:val="000000"/>
                <w:lang w:eastAsia="en-GB"/>
              </w:rPr>
              <w:t>and who were awarded a Clinical Excellence Award disaggregated by Ethnicity (based on the financial year</w:t>
            </w:r>
            <w:r w:rsidR="000E72E0" w:rsidRPr="007036B1">
              <w:rPr>
                <w:rFonts w:ascii="Arial" w:eastAsia="Times New Roman" w:hAnsi="Arial" w:cs="Arial"/>
                <w:color w:val="000000"/>
                <w:lang w:eastAsia="en-GB"/>
              </w:rPr>
              <w:t>)</w:t>
            </w:r>
            <w:r w:rsidRPr="009F4D93">
              <w:rPr>
                <w:rFonts w:ascii="Arial" w:eastAsia="Times New Roman" w:hAnsi="Arial" w:cs="Arial"/>
                <w:color w:val="000000"/>
                <w:lang w:eastAsia="en-GB"/>
              </w:rPr>
              <w:t> </w:t>
            </w:r>
          </w:p>
        </w:tc>
        <w:tc>
          <w:tcPr>
            <w:tcW w:w="1230" w:type="dxa"/>
            <w:shd w:val="clear" w:color="auto" w:fill="C6D9F1" w:themeFill="text2" w:themeFillTint="33"/>
            <w:noWrap/>
            <w:hideMark/>
          </w:tcPr>
          <w:p w14:paraId="7CF1EA87"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230" w:type="dxa"/>
            <w:shd w:val="clear" w:color="auto" w:fill="C6D9F1" w:themeFill="text2" w:themeFillTint="33"/>
            <w:noWrap/>
            <w:hideMark/>
          </w:tcPr>
          <w:p w14:paraId="67BF2F15"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230" w:type="dxa"/>
            <w:shd w:val="clear" w:color="auto" w:fill="C6D9F1" w:themeFill="text2" w:themeFillTint="33"/>
            <w:noWrap/>
            <w:hideMark/>
          </w:tcPr>
          <w:p w14:paraId="2C7E2F8B"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230" w:type="dxa"/>
            <w:shd w:val="clear" w:color="auto" w:fill="C6D9F1" w:themeFill="text2" w:themeFillTint="33"/>
            <w:noWrap/>
            <w:hideMark/>
          </w:tcPr>
          <w:p w14:paraId="7FF2A515"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230" w:type="dxa"/>
            <w:shd w:val="clear" w:color="auto" w:fill="C6D9F1" w:themeFill="text2" w:themeFillTint="33"/>
            <w:noWrap/>
            <w:hideMark/>
          </w:tcPr>
          <w:p w14:paraId="1AB422AC"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2021/22</w:t>
            </w:r>
          </w:p>
        </w:tc>
        <w:tc>
          <w:tcPr>
            <w:tcW w:w="1230" w:type="dxa"/>
            <w:shd w:val="clear" w:color="auto" w:fill="C6D9F1" w:themeFill="text2" w:themeFillTint="33"/>
            <w:noWrap/>
            <w:hideMark/>
          </w:tcPr>
          <w:p w14:paraId="0BA2E6B2"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230" w:type="dxa"/>
            <w:shd w:val="clear" w:color="auto" w:fill="C6D9F1" w:themeFill="text2" w:themeFillTint="33"/>
            <w:noWrap/>
            <w:hideMark/>
          </w:tcPr>
          <w:p w14:paraId="0378F5B6"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230" w:type="dxa"/>
            <w:shd w:val="clear" w:color="auto" w:fill="C6D9F1" w:themeFill="text2" w:themeFillTint="33"/>
            <w:noWrap/>
            <w:hideMark/>
          </w:tcPr>
          <w:p w14:paraId="5276FFB0"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230" w:type="dxa"/>
            <w:shd w:val="clear" w:color="auto" w:fill="C6D9F1" w:themeFill="text2" w:themeFillTint="33"/>
            <w:noWrap/>
            <w:hideMark/>
          </w:tcPr>
          <w:p w14:paraId="3A3BE219"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c>
          <w:tcPr>
            <w:tcW w:w="1231" w:type="dxa"/>
            <w:shd w:val="clear" w:color="auto" w:fill="C6D9F1" w:themeFill="text2" w:themeFillTint="33"/>
            <w:noWrap/>
            <w:hideMark/>
          </w:tcPr>
          <w:p w14:paraId="265DA6C9"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2022/23</w:t>
            </w:r>
          </w:p>
        </w:tc>
      </w:tr>
      <w:tr w:rsidR="009F4D93" w:rsidRPr="007036B1" w14:paraId="2D9E8D88" w14:textId="77777777" w:rsidTr="000E72E0">
        <w:trPr>
          <w:trHeight w:val="580"/>
        </w:trPr>
        <w:tc>
          <w:tcPr>
            <w:tcW w:w="2835" w:type="dxa"/>
            <w:vMerge/>
            <w:noWrap/>
            <w:hideMark/>
          </w:tcPr>
          <w:p w14:paraId="740341E1" w14:textId="4CEB12EF" w:rsidR="009F4D93" w:rsidRPr="009F4D93" w:rsidRDefault="009F4D93" w:rsidP="009F4D93">
            <w:pPr>
              <w:rPr>
                <w:rFonts w:ascii="Arial" w:eastAsia="Times New Roman" w:hAnsi="Arial" w:cs="Arial"/>
                <w:color w:val="000000"/>
                <w:lang w:eastAsia="en-GB"/>
              </w:rPr>
            </w:pPr>
          </w:p>
        </w:tc>
        <w:tc>
          <w:tcPr>
            <w:tcW w:w="1230" w:type="dxa"/>
            <w:shd w:val="clear" w:color="auto" w:fill="C6D9F1" w:themeFill="text2" w:themeFillTint="33"/>
            <w:hideMark/>
          </w:tcPr>
          <w:p w14:paraId="3C035970"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White</w:t>
            </w:r>
          </w:p>
        </w:tc>
        <w:tc>
          <w:tcPr>
            <w:tcW w:w="1230" w:type="dxa"/>
            <w:shd w:val="clear" w:color="auto" w:fill="C6D9F1" w:themeFill="text2" w:themeFillTint="33"/>
            <w:hideMark/>
          </w:tcPr>
          <w:p w14:paraId="678AEB89"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Black</w:t>
            </w:r>
          </w:p>
        </w:tc>
        <w:tc>
          <w:tcPr>
            <w:tcW w:w="1230" w:type="dxa"/>
            <w:shd w:val="clear" w:color="auto" w:fill="C6D9F1" w:themeFill="text2" w:themeFillTint="33"/>
            <w:hideMark/>
          </w:tcPr>
          <w:p w14:paraId="577ADC68"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Asian</w:t>
            </w:r>
          </w:p>
        </w:tc>
        <w:tc>
          <w:tcPr>
            <w:tcW w:w="1230" w:type="dxa"/>
            <w:shd w:val="clear" w:color="auto" w:fill="C6D9F1" w:themeFill="text2" w:themeFillTint="33"/>
            <w:hideMark/>
          </w:tcPr>
          <w:p w14:paraId="1F66625E"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 xml:space="preserve">Other </w:t>
            </w:r>
          </w:p>
        </w:tc>
        <w:tc>
          <w:tcPr>
            <w:tcW w:w="1230" w:type="dxa"/>
            <w:shd w:val="clear" w:color="auto" w:fill="C6D9F1" w:themeFill="text2" w:themeFillTint="33"/>
            <w:hideMark/>
          </w:tcPr>
          <w:p w14:paraId="35D868CC"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Not Known</w:t>
            </w:r>
          </w:p>
        </w:tc>
        <w:tc>
          <w:tcPr>
            <w:tcW w:w="1230" w:type="dxa"/>
            <w:shd w:val="clear" w:color="auto" w:fill="C6D9F1" w:themeFill="text2" w:themeFillTint="33"/>
            <w:hideMark/>
          </w:tcPr>
          <w:p w14:paraId="4A3919E0"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White</w:t>
            </w:r>
          </w:p>
        </w:tc>
        <w:tc>
          <w:tcPr>
            <w:tcW w:w="1230" w:type="dxa"/>
            <w:shd w:val="clear" w:color="auto" w:fill="C6D9F1" w:themeFill="text2" w:themeFillTint="33"/>
            <w:hideMark/>
          </w:tcPr>
          <w:p w14:paraId="0BA26FF5"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Black</w:t>
            </w:r>
          </w:p>
        </w:tc>
        <w:tc>
          <w:tcPr>
            <w:tcW w:w="1230" w:type="dxa"/>
            <w:shd w:val="clear" w:color="auto" w:fill="C6D9F1" w:themeFill="text2" w:themeFillTint="33"/>
            <w:hideMark/>
          </w:tcPr>
          <w:p w14:paraId="71ADCBB7"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Asian</w:t>
            </w:r>
          </w:p>
        </w:tc>
        <w:tc>
          <w:tcPr>
            <w:tcW w:w="1230" w:type="dxa"/>
            <w:shd w:val="clear" w:color="auto" w:fill="C6D9F1" w:themeFill="text2" w:themeFillTint="33"/>
            <w:hideMark/>
          </w:tcPr>
          <w:p w14:paraId="336D10C9"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 xml:space="preserve">Other </w:t>
            </w:r>
          </w:p>
        </w:tc>
        <w:tc>
          <w:tcPr>
            <w:tcW w:w="1231" w:type="dxa"/>
            <w:shd w:val="clear" w:color="auto" w:fill="C6D9F1" w:themeFill="text2" w:themeFillTint="33"/>
            <w:hideMark/>
          </w:tcPr>
          <w:p w14:paraId="7A29B8AC"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Not Known</w:t>
            </w:r>
          </w:p>
        </w:tc>
      </w:tr>
      <w:tr w:rsidR="009F4D93" w:rsidRPr="007036B1" w14:paraId="392BA772" w14:textId="77777777" w:rsidTr="000E72E0">
        <w:trPr>
          <w:trHeight w:val="290"/>
        </w:trPr>
        <w:tc>
          <w:tcPr>
            <w:tcW w:w="2835" w:type="dxa"/>
            <w:vMerge/>
            <w:noWrap/>
            <w:hideMark/>
          </w:tcPr>
          <w:p w14:paraId="36A85560" w14:textId="304FD22E" w:rsidR="009F4D93" w:rsidRPr="009F4D93" w:rsidRDefault="009F4D93" w:rsidP="009F4D93">
            <w:pPr>
              <w:rPr>
                <w:rFonts w:ascii="Arial" w:eastAsia="Times New Roman" w:hAnsi="Arial" w:cs="Arial"/>
                <w:color w:val="000000"/>
                <w:lang w:eastAsia="en-GB"/>
              </w:rPr>
            </w:pPr>
          </w:p>
        </w:tc>
        <w:tc>
          <w:tcPr>
            <w:tcW w:w="1230" w:type="dxa"/>
            <w:noWrap/>
            <w:hideMark/>
          </w:tcPr>
          <w:p w14:paraId="72E01BD7" w14:textId="56FAF106" w:rsidR="009F4D93" w:rsidRPr="009F4D93" w:rsidRDefault="009F4D93" w:rsidP="009F4D93">
            <w:pPr>
              <w:jc w:val="center"/>
              <w:rPr>
                <w:rFonts w:ascii="Arial" w:eastAsia="Times New Roman" w:hAnsi="Arial" w:cs="Arial"/>
                <w:color w:val="000000"/>
                <w:lang w:eastAsia="en-GB"/>
              </w:rPr>
            </w:pP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230" w:type="dxa"/>
            <w:noWrap/>
            <w:hideMark/>
          </w:tcPr>
          <w:p w14:paraId="1A98EA63" w14:textId="2B8AE259" w:rsidR="009F4D93" w:rsidRPr="009F4D93" w:rsidRDefault="009F4D93" w:rsidP="009F4D93">
            <w:pPr>
              <w:jc w:val="center"/>
              <w:rPr>
                <w:rFonts w:ascii="Arial" w:eastAsia="Times New Roman" w:hAnsi="Arial" w:cs="Arial"/>
                <w:color w:val="000000"/>
                <w:lang w:eastAsia="en-GB"/>
              </w:rPr>
            </w:pP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230" w:type="dxa"/>
            <w:noWrap/>
            <w:hideMark/>
          </w:tcPr>
          <w:p w14:paraId="7764A55D" w14:textId="2D37B02F" w:rsidR="009F4D93" w:rsidRPr="009F4D93" w:rsidRDefault="009F4D93" w:rsidP="009F4D93">
            <w:pPr>
              <w:jc w:val="center"/>
              <w:rPr>
                <w:rFonts w:ascii="Arial" w:eastAsia="Times New Roman" w:hAnsi="Arial" w:cs="Arial"/>
                <w:color w:val="000000"/>
                <w:lang w:eastAsia="en-GB"/>
              </w:rPr>
            </w:pP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230" w:type="dxa"/>
            <w:noWrap/>
            <w:hideMark/>
          </w:tcPr>
          <w:p w14:paraId="6B28D2F9" w14:textId="5178175D" w:rsidR="009F4D93" w:rsidRPr="009F4D93" w:rsidRDefault="009F4D93" w:rsidP="009F4D93">
            <w:pPr>
              <w:jc w:val="center"/>
              <w:rPr>
                <w:rFonts w:ascii="Arial" w:eastAsia="Times New Roman" w:hAnsi="Arial" w:cs="Arial"/>
                <w:color w:val="000000"/>
                <w:lang w:eastAsia="en-GB"/>
              </w:rPr>
            </w:pP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230" w:type="dxa"/>
            <w:noWrap/>
            <w:hideMark/>
          </w:tcPr>
          <w:p w14:paraId="183293C5" w14:textId="3617CA04" w:rsidR="009F4D93" w:rsidRPr="009F4D93" w:rsidRDefault="009F4D93" w:rsidP="009F4D93">
            <w:pPr>
              <w:jc w:val="center"/>
              <w:rPr>
                <w:rFonts w:ascii="Arial" w:eastAsia="Times New Roman" w:hAnsi="Arial" w:cs="Arial"/>
                <w:color w:val="000000"/>
                <w:lang w:eastAsia="en-GB"/>
              </w:rPr>
            </w:pP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230" w:type="dxa"/>
            <w:noWrap/>
            <w:hideMark/>
          </w:tcPr>
          <w:p w14:paraId="675BA30A"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61</w:t>
            </w:r>
          </w:p>
        </w:tc>
        <w:tc>
          <w:tcPr>
            <w:tcW w:w="1230" w:type="dxa"/>
            <w:noWrap/>
            <w:hideMark/>
          </w:tcPr>
          <w:p w14:paraId="418A927F"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8</w:t>
            </w:r>
          </w:p>
        </w:tc>
        <w:tc>
          <w:tcPr>
            <w:tcW w:w="1230" w:type="dxa"/>
            <w:noWrap/>
            <w:hideMark/>
          </w:tcPr>
          <w:p w14:paraId="7C22E022"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83</w:t>
            </w:r>
          </w:p>
        </w:tc>
        <w:tc>
          <w:tcPr>
            <w:tcW w:w="1230" w:type="dxa"/>
            <w:noWrap/>
            <w:hideMark/>
          </w:tcPr>
          <w:p w14:paraId="60FD7BED"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5</w:t>
            </w:r>
          </w:p>
        </w:tc>
        <w:tc>
          <w:tcPr>
            <w:tcW w:w="1231" w:type="dxa"/>
            <w:noWrap/>
            <w:hideMark/>
          </w:tcPr>
          <w:p w14:paraId="77880B6F" w14:textId="77777777" w:rsidR="009F4D93" w:rsidRPr="009F4D93" w:rsidRDefault="009F4D93" w:rsidP="009F4D93">
            <w:pPr>
              <w:jc w:val="center"/>
              <w:rPr>
                <w:rFonts w:ascii="Arial" w:eastAsia="Times New Roman" w:hAnsi="Arial" w:cs="Arial"/>
                <w:color w:val="000000"/>
                <w:lang w:eastAsia="en-GB"/>
              </w:rPr>
            </w:pPr>
            <w:r w:rsidRPr="009F4D93">
              <w:rPr>
                <w:rFonts w:ascii="Arial" w:eastAsia="Times New Roman" w:hAnsi="Arial" w:cs="Arial"/>
                <w:color w:val="000000"/>
                <w:lang w:eastAsia="en-GB"/>
              </w:rPr>
              <w:t>1</w:t>
            </w:r>
          </w:p>
        </w:tc>
      </w:tr>
    </w:tbl>
    <w:p w14:paraId="76CCFB87" w14:textId="50BCE3B4" w:rsidR="00FC17A2" w:rsidRDefault="00FC17A2" w:rsidP="007036B1">
      <w:pPr>
        <w:spacing w:after="0" w:line="240" w:lineRule="auto"/>
        <w:ind w:left="284"/>
        <w:rPr>
          <w:rFonts w:ascii="Arial" w:hAnsi="Arial" w:cs="Arial"/>
        </w:rPr>
      </w:pPr>
    </w:p>
    <w:tbl>
      <w:tblPr>
        <w:tblW w:w="15167" w:type="dxa"/>
        <w:tblInd w:w="279" w:type="dxa"/>
        <w:tblLayout w:type="fixed"/>
        <w:tblLook w:val="04A0" w:firstRow="1" w:lastRow="0" w:firstColumn="1" w:lastColumn="0" w:noHBand="0" w:noVBand="1"/>
      </w:tblPr>
      <w:tblGrid>
        <w:gridCol w:w="2835"/>
        <w:gridCol w:w="1417"/>
        <w:gridCol w:w="1091"/>
        <w:gridCol w:w="1092"/>
        <w:gridCol w:w="1091"/>
        <w:gridCol w:w="1092"/>
        <w:gridCol w:w="1091"/>
        <w:gridCol w:w="1092"/>
        <w:gridCol w:w="1091"/>
        <w:gridCol w:w="1092"/>
        <w:gridCol w:w="1091"/>
        <w:gridCol w:w="1092"/>
      </w:tblGrid>
      <w:tr w:rsidR="000E72E0" w:rsidRPr="007036B1" w14:paraId="6056323C" w14:textId="77777777" w:rsidTr="007036B1">
        <w:trPr>
          <w:trHeight w:val="290"/>
        </w:trPr>
        <w:tc>
          <w:tcPr>
            <w:tcW w:w="2835" w:type="dxa"/>
            <w:vMerge w:val="restart"/>
            <w:tcBorders>
              <w:top w:val="single" w:sz="4" w:space="0" w:color="auto"/>
              <w:left w:val="single" w:sz="4" w:space="0" w:color="auto"/>
              <w:right w:val="single" w:sz="4" w:space="0" w:color="auto"/>
            </w:tcBorders>
            <w:shd w:val="clear" w:color="auto" w:fill="auto"/>
          </w:tcPr>
          <w:p w14:paraId="1E21C727" w14:textId="24610C01" w:rsidR="000E72E0" w:rsidRPr="007036B1" w:rsidRDefault="000E72E0" w:rsidP="007036B1">
            <w:pPr>
              <w:spacing w:after="0" w:line="240" w:lineRule="auto"/>
              <w:ind w:left="36" w:hanging="36"/>
              <w:rPr>
                <w:rFonts w:ascii="Arial" w:hAnsi="Arial" w:cs="Arial"/>
              </w:rPr>
            </w:pPr>
            <w:r w:rsidRPr="008E3BD4">
              <w:rPr>
                <w:rFonts w:ascii="Arial" w:eastAsia="Times New Roman" w:hAnsi="Arial" w:cs="Arial"/>
                <w:color w:val="000000"/>
                <w:lang w:eastAsia="en-GB"/>
              </w:rPr>
              <w:t> </w:t>
            </w:r>
            <w:r w:rsidRPr="007036B1">
              <w:rPr>
                <w:rFonts w:ascii="Arial" w:eastAsia="Times New Roman" w:hAnsi="Arial" w:cs="Arial"/>
                <w:color w:val="000000"/>
                <w:lang w:eastAsia="en-GB"/>
              </w:rPr>
              <w:t>Metric 2: Consultant recruitment aggregated by Ethnicity (based on the financial year)</w:t>
            </w:r>
          </w:p>
          <w:p w14:paraId="7D998B07" w14:textId="77777777" w:rsidR="000E72E0" w:rsidRPr="007036B1" w:rsidRDefault="000E72E0" w:rsidP="007036B1">
            <w:pPr>
              <w:spacing w:after="0" w:line="240" w:lineRule="auto"/>
              <w:rPr>
                <w:rFonts w:ascii="Arial" w:eastAsia="Times New Roman" w:hAnsi="Arial" w:cs="Arial"/>
                <w:color w:val="000000"/>
                <w:lang w:eastAsia="en-GB"/>
              </w:rPr>
            </w:pP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hideMark/>
          </w:tcPr>
          <w:p w14:paraId="21DFECF7" w14:textId="77777777" w:rsidR="000E72E0" w:rsidRPr="007036B1" w:rsidRDefault="000E72E0" w:rsidP="007036B1">
            <w:pPr>
              <w:spacing w:after="0" w:line="240" w:lineRule="auto"/>
              <w:rPr>
                <w:rFonts w:ascii="Arial" w:eastAsia="Times New Roman" w:hAnsi="Arial" w:cs="Arial"/>
                <w:color w:val="000000"/>
                <w:lang w:eastAsia="en-GB"/>
              </w:rPr>
            </w:pPr>
            <w:r w:rsidRPr="000E72E0">
              <w:rPr>
                <w:rFonts w:ascii="Arial" w:eastAsia="Times New Roman" w:hAnsi="Arial" w:cs="Arial"/>
                <w:color w:val="000000"/>
                <w:lang w:eastAsia="en-GB"/>
              </w:rPr>
              <w:t> </w:t>
            </w:r>
          </w:p>
          <w:p w14:paraId="626D7EF4" w14:textId="2692947A" w:rsidR="000E72E0" w:rsidRPr="000E72E0" w:rsidRDefault="000E72E0" w:rsidP="007036B1">
            <w:pPr>
              <w:spacing w:after="0" w:line="240" w:lineRule="auto"/>
              <w:rPr>
                <w:rFonts w:ascii="Arial" w:eastAsia="Times New Roman" w:hAnsi="Arial" w:cs="Arial"/>
                <w:color w:val="000000"/>
                <w:lang w:eastAsia="en-GB"/>
              </w:rPr>
            </w:pPr>
            <w:r w:rsidRPr="000E72E0">
              <w:rPr>
                <w:rFonts w:ascii="Arial" w:eastAsia="Times New Roman" w:hAnsi="Arial" w:cs="Arial"/>
                <w:color w:val="000000"/>
                <w:lang w:eastAsia="en-GB"/>
              </w:rPr>
              <w:t> </w:t>
            </w:r>
          </w:p>
        </w:tc>
        <w:tc>
          <w:tcPr>
            <w:tcW w:w="1091" w:type="dxa"/>
            <w:tcBorders>
              <w:top w:val="single" w:sz="4" w:space="0" w:color="auto"/>
              <w:left w:val="nil"/>
              <w:bottom w:val="single" w:sz="4" w:space="0" w:color="auto"/>
              <w:right w:val="single" w:sz="4" w:space="0" w:color="auto"/>
            </w:tcBorders>
            <w:shd w:val="clear" w:color="000000" w:fill="B4C6E7"/>
            <w:noWrap/>
            <w:vAlign w:val="bottom"/>
            <w:hideMark/>
          </w:tcPr>
          <w:p w14:paraId="1DAC3AF9"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2021/22</w:t>
            </w:r>
          </w:p>
        </w:tc>
        <w:tc>
          <w:tcPr>
            <w:tcW w:w="1092" w:type="dxa"/>
            <w:tcBorders>
              <w:top w:val="single" w:sz="4" w:space="0" w:color="auto"/>
              <w:left w:val="nil"/>
              <w:bottom w:val="single" w:sz="4" w:space="0" w:color="auto"/>
              <w:right w:val="single" w:sz="4" w:space="0" w:color="auto"/>
            </w:tcBorders>
            <w:shd w:val="clear" w:color="000000" w:fill="B4C6E7"/>
            <w:noWrap/>
            <w:vAlign w:val="bottom"/>
            <w:hideMark/>
          </w:tcPr>
          <w:p w14:paraId="735F1E3F"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2021/22</w:t>
            </w:r>
          </w:p>
        </w:tc>
        <w:tc>
          <w:tcPr>
            <w:tcW w:w="1091" w:type="dxa"/>
            <w:tcBorders>
              <w:top w:val="single" w:sz="4" w:space="0" w:color="auto"/>
              <w:left w:val="nil"/>
              <w:bottom w:val="single" w:sz="4" w:space="0" w:color="auto"/>
              <w:right w:val="single" w:sz="4" w:space="0" w:color="auto"/>
            </w:tcBorders>
            <w:shd w:val="clear" w:color="000000" w:fill="B4C6E7"/>
            <w:noWrap/>
            <w:vAlign w:val="bottom"/>
            <w:hideMark/>
          </w:tcPr>
          <w:p w14:paraId="23185525"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2021/22</w:t>
            </w:r>
          </w:p>
        </w:tc>
        <w:tc>
          <w:tcPr>
            <w:tcW w:w="1092" w:type="dxa"/>
            <w:tcBorders>
              <w:top w:val="single" w:sz="4" w:space="0" w:color="auto"/>
              <w:left w:val="nil"/>
              <w:bottom w:val="single" w:sz="4" w:space="0" w:color="auto"/>
              <w:right w:val="single" w:sz="4" w:space="0" w:color="auto"/>
            </w:tcBorders>
            <w:shd w:val="clear" w:color="000000" w:fill="B4C6E7"/>
            <w:noWrap/>
            <w:vAlign w:val="bottom"/>
            <w:hideMark/>
          </w:tcPr>
          <w:p w14:paraId="77872276"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2021/22</w:t>
            </w:r>
          </w:p>
        </w:tc>
        <w:tc>
          <w:tcPr>
            <w:tcW w:w="1091" w:type="dxa"/>
            <w:tcBorders>
              <w:top w:val="single" w:sz="4" w:space="0" w:color="auto"/>
              <w:left w:val="nil"/>
              <w:bottom w:val="single" w:sz="4" w:space="0" w:color="auto"/>
              <w:right w:val="single" w:sz="4" w:space="0" w:color="auto"/>
            </w:tcBorders>
            <w:shd w:val="clear" w:color="000000" w:fill="B4C6E7"/>
            <w:noWrap/>
            <w:vAlign w:val="bottom"/>
            <w:hideMark/>
          </w:tcPr>
          <w:p w14:paraId="164207A6"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2021/22</w:t>
            </w:r>
          </w:p>
        </w:tc>
        <w:tc>
          <w:tcPr>
            <w:tcW w:w="1092" w:type="dxa"/>
            <w:tcBorders>
              <w:top w:val="single" w:sz="4" w:space="0" w:color="auto"/>
              <w:left w:val="nil"/>
              <w:bottom w:val="single" w:sz="4" w:space="0" w:color="auto"/>
              <w:right w:val="single" w:sz="4" w:space="0" w:color="auto"/>
            </w:tcBorders>
            <w:shd w:val="clear" w:color="000000" w:fill="B4C6E7"/>
            <w:noWrap/>
            <w:vAlign w:val="bottom"/>
            <w:hideMark/>
          </w:tcPr>
          <w:p w14:paraId="7E2C2BAA"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2022/23</w:t>
            </w:r>
          </w:p>
        </w:tc>
        <w:tc>
          <w:tcPr>
            <w:tcW w:w="1091" w:type="dxa"/>
            <w:tcBorders>
              <w:top w:val="single" w:sz="4" w:space="0" w:color="auto"/>
              <w:left w:val="nil"/>
              <w:bottom w:val="single" w:sz="4" w:space="0" w:color="auto"/>
              <w:right w:val="single" w:sz="4" w:space="0" w:color="auto"/>
            </w:tcBorders>
            <w:shd w:val="clear" w:color="000000" w:fill="B4C6E7"/>
            <w:noWrap/>
            <w:vAlign w:val="bottom"/>
            <w:hideMark/>
          </w:tcPr>
          <w:p w14:paraId="7F941A15"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2022/23</w:t>
            </w:r>
          </w:p>
        </w:tc>
        <w:tc>
          <w:tcPr>
            <w:tcW w:w="1092" w:type="dxa"/>
            <w:tcBorders>
              <w:top w:val="single" w:sz="4" w:space="0" w:color="auto"/>
              <w:left w:val="nil"/>
              <w:bottom w:val="single" w:sz="4" w:space="0" w:color="auto"/>
              <w:right w:val="single" w:sz="4" w:space="0" w:color="auto"/>
            </w:tcBorders>
            <w:shd w:val="clear" w:color="000000" w:fill="B4C6E7"/>
            <w:noWrap/>
            <w:vAlign w:val="bottom"/>
            <w:hideMark/>
          </w:tcPr>
          <w:p w14:paraId="6FB9853F"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2022/23</w:t>
            </w:r>
          </w:p>
        </w:tc>
        <w:tc>
          <w:tcPr>
            <w:tcW w:w="1091" w:type="dxa"/>
            <w:tcBorders>
              <w:top w:val="single" w:sz="4" w:space="0" w:color="auto"/>
              <w:left w:val="nil"/>
              <w:bottom w:val="single" w:sz="4" w:space="0" w:color="auto"/>
              <w:right w:val="single" w:sz="4" w:space="0" w:color="auto"/>
            </w:tcBorders>
            <w:shd w:val="clear" w:color="000000" w:fill="B4C6E7"/>
            <w:noWrap/>
            <w:vAlign w:val="bottom"/>
            <w:hideMark/>
          </w:tcPr>
          <w:p w14:paraId="3B39B833"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2022/23</w:t>
            </w:r>
          </w:p>
        </w:tc>
        <w:tc>
          <w:tcPr>
            <w:tcW w:w="1092" w:type="dxa"/>
            <w:tcBorders>
              <w:top w:val="single" w:sz="4" w:space="0" w:color="auto"/>
              <w:left w:val="nil"/>
              <w:bottom w:val="single" w:sz="4" w:space="0" w:color="auto"/>
              <w:right w:val="single" w:sz="4" w:space="0" w:color="auto"/>
            </w:tcBorders>
            <w:shd w:val="clear" w:color="000000" w:fill="B4C6E7"/>
            <w:noWrap/>
            <w:vAlign w:val="bottom"/>
            <w:hideMark/>
          </w:tcPr>
          <w:p w14:paraId="305C4F2D" w14:textId="77777777" w:rsidR="000E72E0" w:rsidRPr="000E72E0" w:rsidRDefault="000E72E0" w:rsidP="007036B1">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2022/23</w:t>
            </w:r>
          </w:p>
        </w:tc>
      </w:tr>
      <w:tr w:rsidR="000E72E0" w:rsidRPr="007036B1" w14:paraId="1F7963C5" w14:textId="77777777" w:rsidTr="007036B1">
        <w:trPr>
          <w:trHeight w:val="580"/>
        </w:trPr>
        <w:tc>
          <w:tcPr>
            <w:tcW w:w="2835" w:type="dxa"/>
            <w:vMerge/>
            <w:tcBorders>
              <w:left w:val="single" w:sz="4" w:space="0" w:color="auto"/>
              <w:right w:val="single" w:sz="4" w:space="0" w:color="auto"/>
            </w:tcBorders>
            <w:shd w:val="clear" w:color="auto" w:fill="auto"/>
          </w:tcPr>
          <w:p w14:paraId="34DF7D33" w14:textId="77777777" w:rsidR="000E72E0" w:rsidRPr="007036B1" w:rsidRDefault="000E72E0" w:rsidP="000E72E0">
            <w:pPr>
              <w:spacing w:after="0" w:line="240" w:lineRule="auto"/>
              <w:rPr>
                <w:rFonts w:ascii="Arial" w:eastAsia="Times New Roman" w:hAnsi="Arial" w:cs="Arial"/>
                <w:color w:val="000000"/>
                <w:lang w:eastAsia="en-GB"/>
              </w:rPr>
            </w:pPr>
          </w:p>
        </w:tc>
        <w:tc>
          <w:tcPr>
            <w:tcW w:w="1417"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65D20D2C" w14:textId="6D3192F7" w:rsidR="000E72E0" w:rsidRPr="000E72E0" w:rsidRDefault="000E72E0" w:rsidP="000E72E0">
            <w:pPr>
              <w:spacing w:after="0" w:line="240" w:lineRule="auto"/>
              <w:rPr>
                <w:rFonts w:ascii="Arial" w:eastAsia="Times New Roman" w:hAnsi="Arial" w:cs="Arial"/>
                <w:color w:val="000000"/>
                <w:lang w:eastAsia="en-GB"/>
              </w:rPr>
            </w:pPr>
          </w:p>
        </w:tc>
        <w:tc>
          <w:tcPr>
            <w:tcW w:w="1091" w:type="dxa"/>
            <w:tcBorders>
              <w:top w:val="nil"/>
              <w:left w:val="nil"/>
              <w:bottom w:val="single" w:sz="4" w:space="0" w:color="auto"/>
              <w:right w:val="single" w:sz="4" w:space="0" w:color="auto"/>
            </w:tcBorders>
            <w:shd w:val="clear" w:color="000000" w:fill="B4C6E7"/>
            <w:noWrap/>
            <w:vAlign w:val="bottom"/>
            <w:hideMark/>
          </w:tcPr>
          <w:p w14:paraId="465047F8"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White</w:t>
            </w:r>
          </w:p>
        </w:tc>
        <w:tc>
          <w:tcPr>
            <w:tcW w:w="1092" w:type="dxa"/>
            <w:tcBorders>
              <w:top w:val="nil"/>
              <w:left w:val="nil"/>
              <w:bottom w:val="single" w:sz="4" w:space="0" w:color="auto"/>
              <w:right w:val="single" w:sz="4" w:space="0" w:color="auto"/>
            </w:tcBorders>
            <w:shd w:val="clear" w:color="000000" w:fill="B4C6E7"/>
            <w:noWrap/>
            <w:vAlign w:val="bottom"/>
            <w:hideMark/>
          </w:tcPr>
          <w:p w14:paraId="10E5E005"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Black</w:t>
            </w:r>
          </w:p>
        </w:tc>
        <w:tc>
          <w:tcPr>
            <w:tcW w:w="1091" w:type="dxa"/>
            <w:tcBorders>
              <w:top w:val="nil"/>
              <w:left w:val="nil"/>
              <w:bottom w:val="single" w:sz="4" w:space="0" w:color="auto"/>
              <w:right w:val="single" w:sz="4" w:space="0" w:color="auto"/>
            </w:tcBorders>
            <w:shd w:val="clear" w:color="000000" w:fill="B4C6E7"/>
            <w:noWrap/>
            <w:vAlign w:val="bottom"/>
            <w:hideMark/>
          </w:tcPr>
          <w:p w14:paraId="5DCFDB02"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Asian</w:t>
            </w:r>
          </w:p>
        </w:tc>
        <w:tc>
          <w:tcPr>
            <w:tcW w:w="1092" w:type="dxa"/>
            <w:tcBorders>
              <w:top w:val="nil"/>
              <w:left w:val="nil"/>
              <w:bottom w:val="single" w:sz="4" w:space="0" w:color="auto"/>
              <w:right w:val="single" w:sz="4" w:space="0" w:color="auto"/>
            </w:tcBorders>
            <w:shd w:val="clear" w:color="000000" w:fill="B4C6E7"/>
            <w:noWrap/>
            <w:vAlign w:val="bottom"/>
            <w:hideMark/>
          </w:tcPr>
          <w:p w14:paraId="0A11C89A"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xml:space="preserve">Other </w:t>
            </w:r>
          </w:p>
        </w:tc>
        <w:tc>
          <w:tcPr>
            <w:tcW w:w="1091" w:type="dxa"/>
            <w:tcBorders>
              <w:top w:val="nil"/>
              <w:left w:val="nil"/>
              <w:bottom w:val="single" w:sz="4" w:space="0" w:color="auto"/>
              <w:right w:val="single" w:sz="4" w:space="0" w:color="auto"/>
            </w:tcBorders>
            <w:shd w:val="clear" w:color="000000" w:fill="B4C6E7"/>
            <w:vAlign w:val="bottom"/>
            <w:hideMark/>
          </w:tcPr>
          <w:p w14:paraId="67496C7F"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Not Known</w:t>
            </w:r>
          </w:p>
        </w:tc>
        <w:tc>
          <w:tcPr>
            <w:tcW w:w="1092" w:type="dxa"/>
            <w:tcBorders>
              <w:top w:val="nil"/>
              <w:left w:val="nil"/>
              <w:bottom w:val="single" w:sz="4" w:space="0" w:color="auto"/>
              <w:right w:val="single" w:sz="4" w:space="0" w:color="auto"/>
            </w:tcBorders>
            <w:shd w:val="clear" w:color="000000" w:fill="B4C6E7"/>
            <w:noWrap/>
            <w:vAlign w:val="bottom"/>
            <w:hideMark/>
          </w:tcPr>
          <w:p w14:paraId="06D438F4"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White</w:t>
            </w:r>
          </w:p>
        </w:tc>
        <w:tc>
          <w:tcPr>
            <w:tcW w:w="1091" w:type="dxa"/>
            <w:tcBorders>
              <w:top w:val="nil"/>
              <w:left w:val="nil"/>
              <w:bottom w:val="single" w:sz="4" w:space="0" w:color="auto"/>
              <w:right w:val="single" w:sz="4" w:space="0" w:color="auto"/>
            </w:tcBorders>
            <w:shd w:val="clear" w:color="000000" w:fill="B4C6E7"/>
            <w:noWrap/>
            <w:vAlign w:val="bottom"/>
            <w:hideMark/>
          </w:tcPr>
          <w:p w14:paraId="1699A2F0"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Black</w:t>
            </w:r>
          </w:p>
        </w:tc>
        <w:tc>
          <w:tcPr>
            <w:tcW w:w="1092" w:type="dxa"/>
            <w:tcBorders>
              <w:top w:val="nil"/>
              <w:left w:val="nil"/>
              <w:bottom w:val="single" w:sz="4" w:space="0" w:color="auto"/>
              <w:right w:val="single" w:sz="4" w:space="0" w:color="auto"/>
            </w:tcBorders>
            <w:shd w:val="clear" w:color="000000" w:fill="B4C6E7"/>
            <w:noWrap/>
            <w:vAlign w:val="bottom"/>
            <w:hideMark/>
          </w:tcPr>
          <w:p w14:paraId="1F0C90CE"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Asian</w:t>
            </w:r>
          </w:p>
        </w:tc>
        <w:tc>
          <w:tcPr>
            <w:tcW w:w="1091" w:type="dxa"/>
            <w:tcBorders>
              <w:top w:val="nil"/>
              <w:left w:val="nil"/>
              <w:bottom w:val="single" w:sz="4" w:space="0" w:color="auto"/>
              <w:right w:val="single" w:sz="4" w:space="0" w:color="auto"/>
            </w:tcBorders>
            <w:shd w:val="clear" w:color="000000" w:fill="B4C6E7"/>
            <w:noWrap/>
            <w:vAlign w:val="bottom"/>
            <w:hideMark/>
          </w:tcPr>
          <w:p w14:paraId="401BEA7B"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xml:space="preserve">Other </w:t>
            </w:r>
          </w:p>
        </w:tc>
        <w:tc>
          <w:tcPr>
            <w:tcW w:w="1092" w:type="dxa"/>
            <w:tcBorders>
              <w:top w:val="nil"/>
              <w:left w:val="nil"/>
              <w:bottom w:val="single" w:sz="4" w:space="0" w:color="auto"/>
              <w:right w:val="single" w:sz="4" w:space="0" w:color="auto"/>
            </w:tcBorders>
            <w:shd w:val="clear" w:color="000000" w:fill="B4C6E7"/>
            <w:vAlign w:val="bottom"/>
            <w:hideMark/>
          </w:tcPr>
          <w:p w14:paraId="09FF3AA4"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Not Known</w:t>
            </w:r>
          </w:p>
        </w:tc>
      </w:tr>
      <w:tr w:rsidR="000E72E0" w:rsidRPr="007036B1" w14:paraId="64092D79" w14:textId="77777777" w:rsidTr="007036B1">
        <w:trPr>
          <w:trHeight w:val="290"/>
        </w:trPr>
        <w:tc>
          <w:tcPr>
            <w:tcW w:w="2835" w:type="dxa"/>
            <w:vMerge/>
            <w:tcBorders>
              <w:left w:val="single" w:sz="4" w:space="0" w:color="auto"/>
              <w:right w:val="single" w:sz="4" w:space="0" w:color="auto"/>
            </w:tcBorders>
            <w:shd w:val="clear" w:color="auto" w:fill="auto"/>
          </w:tcPr>
          <w:p w14:paraId="3F7C0FEB" w14:textId="77777777" w:rsidR="000E72E0" w:rsidRPr="007036B1" w:rsidRDefault="000E72E0" w:rsidP="000E72E0">
            <w:pPr>
              <w:spacing w:after="0" w:line="240" w:lineRule="auto"/>
              <w:rPr>
                <w:rFonts w:ascii="Arial" w:eastAsia="Times New Roman" w:hAnsi="Arial" w:cs="Arial"/>
                <w:color w:val="000000"/>
                <w:lang w:eastAsia="en-GB"/>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EF54D44" w14:textId="7CD2D681" w:rsidR="000E72E0" w:rsidRPr="000E72E0" w:rsidRDefault="000E72E0" w:rsidP="000E72E0">
            <w:pPr>
              <w:spacing w:after="0" w:line="240" w:lineRule="auto"/>
              <w:rPr>
                <w:rFonts w:ascii="Arial" w:eastAsia="Times New Roman" w:hAnsi="Arial" w:cs="Arial"/>
                <w:color w:val="000000"/>
                <w:lang w:eastAsia="en-GB"/>
              </w:rPr>
            </w:pPr>
            <w:r w:rsidRPr="000E72E0">
              <w:rPr>
                <w:rFonts w:ascii="Arial" w:eastAsia="Times New Roman" w:hAnsi="Arial" w:cs="Arial"/>
                <w:color w:val="000000"/>
                <w:lang w:eastAsia="en-GB"/>
              </w:rPr>
              <w:t>Applicants</w:t>
            </w:r>
          </w:p>
        </w:tc>
        <w:tc>
          <w:tcPr>
            <w:tcW w:w="1091" w:type="dxa"/>
            <w:tcBorders>
              <w:top w:val="nil"/>
              <w:left w:val="nil"/>
              <w:bottom w:val="single" w:sz="4" w:space="0" w:color="auto"/>
              <w:right w:val="single" w:sz="4" w:space="0" w:color="auto"/>
            </w:tcBorders>
            <w:shd w:val="clear" w:color="auto" w:fill="auto"/>
            <w:noWrap/>
            <w:vAlign w:val="bottom"/>
            <w:hideMark/>
          </w:tcPr>
          <w:p w14:paraId="73A1F53A" w14:textId="7C7ED24F"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hideMark/>
          </w:tcPr>
          <w:p w14:paraId="2749B5DF" w14:textId="299106EF"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1" w:type="dxa"/>
            <w:tcBorders>
              <w:top w:val="nil"/>
              <w:left w:val="nil"/>
              <w:bottom w:val="single" w:sz="4" w:space="0" w:color="auto"/>
              <w:right w:val="single" w:sz="4" w:space="0" w:color="auto"/>
            </w:tcBorders>
            <w:shd w:val="clear" w:color="auto" w:fill="auto"/>
            <w:noWrap/>
            <w:hideMark/>
          </w:tcPr>
          <w:p w14:paraId="51D2F2F8" w14:textId="639820B6"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hideMark/>
          </w:tcPr>
          <w:p w14:paraId="24BFEE76" w14:textId="53A5DB2D"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1" w:type="dxa"/>
            <w:tcBorders>
              <w:top w:val="nil"/>
              <w:left w:val="nil"/>
              <w:bottom w:val="single" w:sz="4" w:space="0" w:color="auto"/>
              <w:right w:val="single" w:sz="4" w:space="0" w:color="auto"/>
            </w:tcBorders>
            <w:shd w:val="clear" w:color="auto" w:fill="auto"/>
            <w:noWrap/>
            <w:hideMark/>
          </w:tcPr>
          <w:p w14:paraId="722BDA97" w14:textId="62B7DF6C"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vAlign w:val="bottom"/>
            <w:hideMark/>
          </w:tcPr>
          <w:p w14:paraId="176DB5C3"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13</w:t>
            </w:r>
          </w:p>
        </w:tc>
        <w:tc>
          <w:tcPr>
            <w:tcW w:w="1091" w:type="dxa"/>
            <w:tcBorders>
              <w:top w:val="nil"/>
              <w:left w:val="nil"/>
              <w:bottom w:val="single" w:sz="4" w:space="0" w:color="auto"/>
              <w:right w:val="single" w:sz="4" w:space="0" w:color="auto"/>
            </w:tcBorders>
            <w:shd w:val="clear" w:color="auto" w:fill="auto"/>
            <w:noWrap/>
            <w:vAlign w:val="bottom"/>
            <w:hideMark/>
          </w:tcPr>
          <w:p w14:paraId="66E2CAAF"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7</w:t>
            </w:r>
          </w:p>
        </w:tc>
        <w:tc>
          <w:tcPr>
            <w:tcW w:w="1092" w:type="dxa"/>
            <w:tcBorders>
              <w:top w:val="nil"/>
              <w:left w:val="nil"/>
              <w:bottom w:val="single" w:sz="4" w:space="0" w:color="auto"/>
              <w:right w:val="single" w:sz="4" w:space="0" w:color="auto"/>
            </w:tcBorders>
            <w:shd w:val="clear" w:color="auto" w:fill="auto"/>
            <w:noWrap/>
            <w:vAlign w:val="bottom"/>
            <w:hideMark/>
          </w:tcPr>
          <w:p w14:paraId="25869B67"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62</w:t>
            </w:r>
          </w:p>
        </w:tc>
        <w:tc>
          <w:tcPr>
            <w:tcW w:w="1091" w:type="dxa"/>
            <w:tcBorders>
              <w:top w:val="nil"/>
              <w:left w:val="nil"/>
              <w:bottom w:val="single" w:sz="4" w:space="0" w:color="auto"/>
              <w:right w:val="single" w:sz="4" w:space="0" w:color="auto"/>
            </w:tcBorders>
            <w:shd w:val="clear" w:color="auto" w:fill="auto"/>
            <w:noWrap/>
            <w:vAlign w:val="bottom"/>
            <w:hideMark/>
          </w:tcPr>
          <w:p w14:paraId="3804939D"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24</w:t>
            </w:r>
          </w:p>
        </w:tc>
        <w:tc>
          <w:tcPr>
            <w:tcW w:w="1092" w:type="dxa"/>
            <w:tcBorders>
              <w:top w:val="nil"/>
              <w:left w:val="nil"/>
              <w:bottom w:val="single" w:sz="4" w:space="0" w:color="auto"/>
              <w:right w:val="single" w:sz="4" w:space="0" w:color="auto"/>
            </w:tcBorders>
            <w:shd w:val="clear" w:color="auto" w:fill="auto"/>
            <w:noWrap/>
            <w:vAlign w:val="bottom"/>
            <w:hideMark/>
          </w:tcPr>
          <w:p w14:paraId="229FB5AB"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w:t>
            </w:r>
          </w:p>
        </w:tc>
      </w:tr>
      <w:tr w:rsidR="000E72E0" w:rsidRPr="007036B1" w14:paraId="5F662341" w14:textId="77777777" w:rsidTr="007036B1">
        <w:trPr>
          <w:trHeight w:val="290"/>
        </w:trPr>
        <w:tc>
          <w:tcPr>
            <w:tcW w:w="2835" w:type="dxa"/>
            <w:vMerge/>
            <w:tcBorders>
              <w:left w:val="single" w:sz="4" w:space="0" w:color="auto"/>
              <w:right w:val="single" w:sz="4" w:space="0" w:color="auto"/>
            </w:tcBorders>
            <w:shd w:val="clear" w:color="auto" w:fill="auto"/>
          </w:tcPr>
          <w:p w14:paraId="3F7792AF" w14:textId="77777777" w:rsidR="000E72E0" w:rsidRPr="007036B1" w:rsidRDefault="000E72E0" w:rsidP="000E72E0">
            <w:pPr>
              <w:spacing w:after="0" w:line="240" w:lineRule="auto"/>
              <w:rPr>
                <w:rFonts w:ascii="Arial" w:eastAsia="Times New Roman" w:hAnsi="Arial" w:cs="Arial"/>
                <w:color w:val="000000"/>
                <w:lang w:eastAsia="en-GB"/>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F225851" w14:textId="157B8A5B" w:rsidR="000E72E0" w:rsidRPr="000E72E0" w:rsidRDefault="000E72E0" w:rsidP="000E72E0">
            <w:pPr>
              <w:spacing w:after="0" w:line="240" w:lineRule="auto"/>
              <w:rPr>
                <w:rFonts w:ascii="Arial" w:eastAsia="Times New Roman" w:hAnsi="Arial" w:cs="Arial"/>
                <w:color w:val="000000"/>
                <w:lang w:eastAsia="en-GB"/>
              </w:rPr>
            </w:pPr>
            <w:r w:rsidRPr="000E72E0">
              <w:rPr>
                <w:rFonts w:ascii="Arial" w:eastAsia="Times New Roman" w:hAnsi="Arial" w:cs="Arial"/>
                <w:color w:val="000000"/>
                <w:lang w:eastAsia="en-GB"/>
              </w:rPr>
              <w:t>Shortlisted</w:t>
            </w:r>
          </w:p>
        </w:tc>
        <w:tc>
          <w:tcPr>
            <w:tcW w:w="1091" w:type="dxa"/>
            <w:tcBorders>
              <w:top w:val="nil"/>
              <w:left w:val="nil"/>
              <w:bottom w:val="single" w:sz="4" w:space="0" w:color="auto"/>
              <w:right w:val="single" w:sz="4" w:space="0" w:color="auto"/>
            </w:tcBorders>
            <w:shd w:val="clear" w:color="auto" w:fill="auto"/>
            <w:noWrap/>
            <w:hideMark/>
          </w:tcPr>
          <w:p w14:paraId="73A301B3" w14:textId="737B5121"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hideMark/>
          </w:tcPr>
          <w:p w14:paraId="4F852DE8" w14:textId="13BED66E"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1" w:type="dxa"/>
            <w:tcBorders>
              <w:top w:val="nil"/>
              <w:left w:val="nil"/>
              <w:bottom w:val="single" w:sz="4" w:space="0" w:color="auto"/>
              <w:right w:val="single" w:sz="4" w:space="0" w:color="auto"/>
            </w:tcBorders>
            <w:shd w:val="clear" w:color="auto" w:fill="auto"/>
            <w:noWrap/>
            <w:hideMark/>
          </w:tcPr>
          <w:p w14:paraId="433EFD1D" w14:textId="25D866DD"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hideMark/>
          </w:tcPr>
          <w:p w14:paraId="62812796" w14:textId="795382AA"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1" w:type="dxa"/>
            <w:tcBorders>
              <w:top w:val="nil"/>
              <w:left w:val="nil"/>
              <w:bottom w:val="single" w:sz="4" w:space="0" w:color="auto"/>
              <w:right w:val="single" w:sz="4" w:space="0" w:color="auto"/>
            </w:tcBorders>
            <w:shd w:val="clear" w:color="auto" w:fill="auto"/>
            <w:noWrap/>
            <w:hideMark/>
          </w:tcPr>
          <w:p w14:paraId="0FD88E78" w14:textId="64EEE2FD"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vAlign w:val="bottom"/>
            <w:hideMark/>
          </w:tcPr>
          <w:p w14:paraId="01DE576E"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4</w:t>
            </w:r>
          </w:p>
        </w:tc>
        <w:tc>
          <w:tcPr>
            <w:tcW w:w="1091" w:type="dxa"/>
            <w:tcBorders>
              <w:top w:val="nil"/>
              <w:left w:val="nil"/>
              <w:bottom w:val="single" w:sz="4" w:space="0" w:color="auto"/>
              <w:right w:val="single" w:sz="4" w:space="0" w:color="auto"/>
            </w:tcBorders>
            <w:shd w:val="clear" w:color="auto" w:fill="auto"/>
            <w:noWrap/>
            <w:vAlign w:val="bottom"/>
            <w:hideMark/>
          </w:tcPr>
          <w:p w14:paraId="49CCD587"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1</w:t>
            </w:r>
          </w:p>
        </w:tc>
        <w:tc>
          <w:tcPr>
            <w:tcW w:w="1092" w:type="dxa"/>
            <w:tcBorders>
              <w:top w:val="nil"/>
              <w:left w:val="nil"/>
              <w:bottom w:val="single" w:sz="4" w:space="0" w:color="auto"/>
              <w:right w:val="single" w:sz="4" w:space="0" w:color="auto"/>
            </w:tcBorders>
            <w:shd w:val="clear" w:color="auto" w:fill="auto"/>
            <w:noWrap/>
            <w:vAlign w:val="bottom"/>
            <w:hideMark/>
          </w:tcPr>
          <w:p w14:paraId="52286938"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20</w:t>
            </w:r>
          </w:p>
        </w:tc>
        <w:tc>
          <w:tcPr>
            <w:tcW w:w="1091" w:type="dxa"/>
            <w:tcBorders>
              <w:top w:val="nil"/>
              <w:left w:val="nil"/>
              <w:bottom w:val="single" w:sz="4" w:space="0" w:color="auto"/>
              <w:right w:val="single" w:sz="4" w:space="0" w:color="auto"/>
            </w:tcBorders>
            <w:shd w:val="clear" w:color="auto" w:fill="auto"/>
            <w:noWrap/>
            <w:vAlign w:val="bottom"/>
            <w:hideMark/>
          </w:tcPr>
          <w:p w14:paraId="73597DA1"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8</w:t>
            </w:r>
          </w:p>
        </w:tc>
        <w:tc>
          <w:tcPr>
            <w:tcW w:w="1092" w:type="dxa"/>
            <w:tcBorders>
              <w:top w:val="nil"/>
              <w:left w:val="nil"/>
              <w:bottom w:val="single" w:sz="4" w:space="0" w:color="auto"/>
              <w:right w:val="single" w:sz="4" w:space="0" w:color="auto"/>
            </w:tcBorders>
            <w:shd w:val="clear" w:color="auto" w:fill="auto"/>
            <w:noWrap/>
            <w:vAlign w:val="bottom"/>
            <w:hideMark/>
          </w:tcPr>
          <w:p w14:paraId="4B358618"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2</w:t>
            </w:r>
          </w:p>
        </w:tc>
      </w:tr>
      <w:tr w:rsidR="000E72E0" w:rsidRPr="007036B1" w14:paraId="3F148877" w14:textId="77777777" w:rsidTr="007036B1">
        <w:trPr>
          <w:trHeight w:val="290"/>
        </w:trPr>
        <w:tc>
          <w:tcPr>
            <w:tcW w:w="2835" w:type="dxa"/>
            <w:vMerge/>
            <w:tcBorders>
              <w:left w:val="single" w:sz="4" w:space="0" w:color="auto"/>
              <w:bottom w:val="single" w:sz="4" w:space="0" w:color="auto"/>
              <w:right w:val="single" w:sz="4" w:space="0" w:color="auto"/>
            </w:tcBorders>
            <w:shd w:val="clear" w:color="auto" w:fill="auto"/>
          </w:tcPr>
          <w:p w14:paraId="4FD4B148" w14:textId="77777777" w:rsidR="000E72E0" w:rsidRPr="007036B1" w:rsidRDefault="000E72E0" w:rsidP="000E72E0">
            <w:pPr>
              <w:spacing w:after="0" w:line="240" w:lineRule="auto"/>
              <w:rPr>
                <w:rFonts w:ascii="Arial" w:eastAsia="Times New Roman" w:hAnsi="Arial" w:cs="Arial"/>
                <w:color w:val="000000"/>
                <w:lang w:eastAsia="en-GB"/>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C635AF7" w14:textId="6943244E" w:rsidR="000E72E0" w:rsidRPr="000E72E0" w:rsidRDefault="000E72E0" w:rsidP="000E72E0">
            <w:pPr>
              <w:spacing w:after="0" w:line="240" w:lineRule="auto"/>
              <w:rPr>
                <w:rFonts w:ascii="Arial" w:eastAsia="Times New Roman" w:hAnsi="Arial" w:cs="Arial"/>
                <w:color w:val="000000"/>
                <w:lang w:eastAsia="en-GB"/>
              </w:rPr>
            </w:pPr>
            <w:r w:rsidRPr="000E72E0">
              <w:rPr>
                <w:rFonts w:ascii="Arial" w:eastAsia="Times New Roman" w:hAnsi="Arial" w:cs="Arial"/>
                <w:color w:val="000000"/>
                <w:lang w:eastAsia="en-GB"/>
              </w:rPr>
              <w:t>Appointed</w:t>
            </w:r>
          </w:p>
        </w:tc>
        <w:tc>
          <w:tcPr>
            <w:tcW w:w="1091" w:type="dxa"/>
            <w:tcBorders>
              <w:top w:val="nil"/>
              <w:left w:val="nil"/>
              <w:bottom w:val="single" w:sz="4" w:space="0" w:color="auto"/>
              <w:right w:val="single" w:sz="4" w:space="0" w:color="auto"/>
            </w:tcBorders>
            <w:shd w:val="clear" w:color="auto" w:fill="auto"/>
            <w:noWrap/>
            <w:hideMark/>
          </w:tcPr>
          <w:p w14:paraId="3AA59437" w14:textId="40DCA445"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hideMark/>
          </w:tcPr>
          <w:p w14:paraId="7D33DDC4" w14:textId="5732829E"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1" w:type="dxa"/>
            <w:tcBorders>
              <w:top w:val="nil"/>
              <w:left w:val="nil"/>
              <w:bottom w:val="single" w:sz="4" w:space="0" w:color="auto"/>
              <w:right w:val="single" w:sz="4" w:space="0" w:color="auto"/>
            </w:tcBorders>
            <w:shd w:val="clear" w:color="auto" w:fill="auto"/>
            <w:noWrap/>
            <w:hideMark/>
          </w:tcPr>
          <w:p w14:paraId="49CF9599" w14:textId="5EB72EBB"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hideMark/>
          </w:tcPr>
          <w:p w14:paraId="3BAAEFEA" w14:textId="14708458"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1" w:type="dxa"/>
            <w:tcBorders>
              <w:top w:val="nil"/>
              <w:left w:val="nil"/>
              <w:bottom w:val="single" w:sz="4" w:space="0" w:color="auto"/>
              <w:right w:val="single" w:sz="4" w:space="0" w:color="auto"/>
            </w:tcBorders>
            <w:shd w:val="clear" w:color="auto" w:fill="auto"/>
            <w:noWrap/>
            <w:hideMark/>
          </w:tcPr>
          <w:p w14:paraId="27C2BBFA" w14:textId="44374F68"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 </w:t>
            </w:r>
            <w:r w:rsidRPr="007036B1">
              <w:rPr>
                <w:rFonts w:ascii="Arial" w:eastAsia="Times New Roman" w:hAnsi="Arial" w:cs="Arial"/>
                <w:color w:val="000000"/>
                <w:lang w:eastAsia="en-GB"/>
              </w:rPr>
              <w:t>Data not available</w:t>
            </w:r>
            <w:r w:rsidRPr="009F4D93">
              <w:rPr>
                <w:rFonts w:ascii="Arial" w:eastAsia="Times New Roman" w:hAnsi="Arial" w:cs="Arial"/>
                <w:color w:val="000000"/>
                <w:lang w:eastAsia="en-GB"/>
              </w:rPr>
              <w:t> </w:t>
            </w:r>
          </w:p>
        </w:tc>
        <w:tc>
          <w:tcPr>
            <w:tcW w:w="1092" w:type="dxa"/>
            <w:tcBorders>
              <w:top w:val="nil"/>
              <w:left w:val="nil"/>
              <w:bottom w:val="single" w:sz="4" w:space="0" w:color="auto"/>
              <w:right w:val="single" w:sz="4" w:space="0" w:color="auto"/>
            </w:tcBorders>
            <w:shd w:val="clear" w:color="auto" w:fill="auto"/>
            <w:noWrap/>
            <w:vAlign w:val="bottom"/>
            <w:hideMark/>
          </w:tcPr>
          <w:p w14:paraId="74B222BC"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4</w:t>
            </w:r>
          </w:p>
        </w:tc>
        <w:tc>
          <w:tcPr>
            <w:tcW w:w="1091" w:type="dxa"/>
            <w:tcBorders>
              <w:top w:val="nil"/>
              <w:left w:val="nil"/>
              <w:bottom w:val="single" w:sz="4" w:space="0" w:color="auto"/>
              <w:right w:val="single" w:sz="4" w:space="0" w:color="auto"/>
            </w:tcBorders>
            <w:shd w:val="clear" w:color="auto" w:fill="auto"/>
            <w:noWrap/>
            <w:vAlign w:val="bottom"/>
            <w:hideMark/>
          </w:tcPr>
          <w:p w14:paraId="70EB79FC"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1</w:t>
            </w:r>
          </w:p>
        </w:tc>
        <w:tc>
          <w:tcPr>
            <w:tcW w:w="1092" w:type="dxa"/>
            <w:tcBorders>
              <w:top w:val="nil"/>
              <w:left w:val="nil"/>
              <w:bottom w:val="single" w:sz="4" w:space="0" w:color="auto"/>
              <w:right w:val="single" w:sz="4" w:space="0" w:color="auto"/>
            </w:tcBorders>
            <w:shd w:val="clear" w:color="auto" w:fill="auto"/>
            <w:noWrap/>
            <w:vAlign w:val="bottom"/>
            <w:hideMark/>
          </w:tcPr>
          <w:p w14:paraId="14B3A3C6"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11</w:t>
            </w:r>
          </w:p>
        </w:tc>
        <w:tc>
          <w:tcPr>
            <w:tcW w:w="1091" w:type="dxa"/>
            <w:tcBorders>
              <w:top w:val="nil"/>
              <w:left w:val="nil"/>
              <w:bottom w:val="single" w:sz="4" w:space="0" w:color="auto"/>
              <w:right w:val="single" w:sz="4" w:space="0" w:color="auto"/>
            </w:tcBorders>
            <w:shd w:val="clear" w:color="auto" w:fill="auto"/>
            <w:noWrap/>
            <w:vAlign w:val="bottom"/>
            <w:hideMark/>
          </w:tcPr>
          <w:p w14:paraId="4A9E93B5"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4</w:t>
            </w:r>
          </w:p>
        </w:tc>
        <w:tc>
          <w:tcPr>
            <w:tcW w:w="1092" w:type="dxa"/>
            <w:tcBorders>
              <w:top w:val="nil"/>
              <w:left w:val="nil"/>
              <w:bottom w:val="single" w:sz="4" w:space="0" w:color="auto"/>
              <w:right w:val="single" w:sz="4" w:space="0" w:color="auto"/>
            </w:tcBorders>
            <w:shd w:val="clear" w:color="auto" w:fill="auto"/>
            <w:noWrap/>
            <w:vAlign w:val="bottom"/>
            <w:hideMark/>
          </w:tcPr>
          <w:p w14:paraId="40956A1C" w14:textId="77777777" w:rsidR="000E72E0" w:rsidRPr="000E72E0" w:rsidRDefault="000E72E0" w:rsidP="000E72E0">
            <w:pPr>
              <w:spacing w:after="0" w:line="240" w:lineRule="auto"/>
              <w:jc w:val="center"/>
              <w:rPr>
                <w:rFonts w:ascii="Arial" w:eastAsia="Times New Roman" w:hAnsi="Arial" w:cs="Arial"/>
                <w:color w:val="000000"/>
                <w:lang w:eastAsia="en-GB"/>
              </w:rPr>
            </w:pPr>
            <w:r w:rsidRPr="000E72E0">
              <w:rPr>
                <w:rFonts w:ascii="Arial" w:eastAsia="Times New Roman" w:hAnsi="Arial" w:cs="Arial"/>
                <w:color w:val="000000"/>
                <w:lang w:eastAsia="en-GB"/>
              </w:rPr>
              <w:t>1</w:t>
            </w:r>
          </w:p>
        </w:tc>
      </w:tr>
    </w:tbl>
    <w:p w14:paraId="7978619B" w14:textId="18EE2D30" w:rsidR="000E72E0" w:rsidRDefault="000E72E0" w:rsidP="00FC17A2">
      <w:pPr>
        <w:ind w:left="284"/>
        <w:rPr>
          <w:rFonts w:ascii="Arial" w:hAnsi="Arial" w:cs="Arial"/>
        </w:rPr>
      </w:pPr>
    </w:p>
    <w:p w14:paraId="27F85727" w14:textId="04678E3B" w:rsidR="00DD250B" w:rsidRDefault="00DD250B" w:rsidP="001B7FB7">
      <w:pPr>
        <w:ind w:left="284"/>
        <w:rPr>
          <w:rFonts w:ascii="Arial" w:hAnsi="Arial" w:cs="Arial"/>
        </w:rPr>
      </w:pPr>
      <w:bookmarkStart w:id="1" w:name="_Hlk146722710"/>
      <w:r>
        <w:rPr>
          <w:rFonts w:ascii="Arial" w:hAnsi="Arial" w:cs="Arial"/>
          <w:b/>
          <w:bCs/>
        </w:rPr>
        <w:t>Reflections on</w:t>
      </w:r>
      <w:r w:rsidR="00E277B2">
        <w:rPr>
          <w:rFonts w:ascii="Arial" w:hAnsi="Arial" w:cs="Arial"/>
          <w:b/>
          <w:bCs/>
        </w:rPr>
        <w:t xml:space="preserve"> our</w:t>
      </w:r>
      <w:r>
        <w:rPr>
          <w:rFonts w:ascii="Arial" w:hAnsi="Arial" w:cs="Arial"/>
          <w:b/>
          <w:bCs/>
        </w:rPr>
        <w:t xml:space="preserve"> </w:t>
      </w:r>
      <w:r w:rsidR="00E277B2">
        <w:rPr>
          <w:rFonts w:ascii="Arial" w:hAnsi="Arial" w:cs="Arial"/>
          <w:b/>
          <w:bCs/>
        </w:rPr>
        <w:t>a</w:t>
      </w:r>
      <w:r>
        <w:rPr>
          <w:rFonts w:ascii="Arial" w:hAnsi="Arial" w:cs="Arial"/>
          <w:b/>
          <w:bCs/>
        </w:rPr>
        <w:t>ctions from 22-23</w:t>
      </w:r>
    </w:p>
    <w:p w14:paraId="41C57398" w14:textId="7E403787" w:rsidR="00D552BE" w:rsidRDefault="00747BBA" w:rsidP="001B7FB7">
      <w:pPr>
        <w:ind w:left="284"/>
        <w:rPr>
          <w:rFonts w:ascii="Arial" w:hAnsi="Arial" w:cs="Arial"/>
        </w:rPr>
      </w:pPr>
      <w:r>
        <w:rPr>
          <w:rFonts w:ascii="Arial" w:hAnsi="Arial" w:cs="Arial"/>
        </w:rPr>
        <w:t xml:space="preserve">It is encouraging to see improvements in our data from our actions last year. </w:t>
      </w:r>
      <w:r w:rsidR="002B0E20">
        <w:rPr>
          <w:rFonts w:ascii="Arial" w:hAnsi="Arial" w:cs="Arial"/>
        </w:rPr>
        <w:t>We have continued to embed Anti-Racism through our updated posters</w:t>
      </w:r>
      <w:r w:rsidR="00F23922">
        <w:rPr>
          <w:rFonts w:ascii="Arial" w:hAnsi="Arial" w:cs="Arial"/>
        </w:rPr>
        <w:t xml:space="preserve"> and</w:t>
      </w:r>
      <w:r w:rsidR="002B0E20">
        <w:rPr>
          <w:rFonts w:ascii="Arial" w:hAnsi="Arial" w:cs="Arial"/>
        </w:rPr>
        <w:t xml:space="preserve"> events</w:t>
      </w:r>
      <w:r w:rsidR="0008459E">
        <w:rPr>
          <w:rFonts w:ascii="Arial" w:hAnsi="Arial" w:cs="Arial"/>
        </w:rPr>
        <w:t xml:space="preserve">, including REACH </w:t>
      </w:r>
      <w:proofErr w:type="gramStart"/>
      <w:r w:rsidR="0008459E">
        <w:rPr>
          <w:rFonts w:ascii="Arial" w:hAnsi="Arial" w:cs="Arial"/>
        </w:rPr>
        <w:t>OUT!,</w:t>
      </w:r>
      <w:proofErr w:type="gramEnd"/>
      <w:r w:rsidR="0008459E">
        <w:rPr>
          <w:rFonts w:ascii="Arial" w:hAnsi="Arial" w:cs="Arial"/>
        </w:rPr>
        <w:t xml:space="preserve"> a day dedicated to celebrating Race, Ethnicity And Cultural Heritage in Sherwood (inaugural event was in October last year, and this years event took place on 26</w:t>
      </w:r>
      <w:r w:rsidR="0008459E" w:rsidRPr="0008459E">
        <w:rPr>
          <w:rFonts w:ascii="Arial" w:hAnsi="Arial" w:cs="Arial"/>
          <w:vertAlign w:val="superscript"/>
        </w:rPr>
        <w:t>th</w:t>
      </w:r>
      <w:r w:rsidR="0008459E">
        <w:rPr>
          <w:rFonts w:ascii="Arial" w:hAnsi="Arial" w:cs="Arial"/>
        </w:rPr>
        <w:t xml:space="preserve"> September and was a great success</w:t>
      </w:r>
      <w:r w:rsidR="00985D1A">
        <w:rPr>
          <w:rFonts w:ascii="Arial" w:hAnsi="Arial" w:cs="Arial"/>
        </w:rPr>
        <w:t>)</w:t>
      </w:r>
      <w:r w:rsidR="0008459E">
        <w:rPr>
          <w:rFonts w:ascii="Arial" w:hAnsi="Arial" w:cs="Arial"/>
        </w:rPr>
        <w:t>.</w:t>
      </w:r>
      <w:r w:rsidR="002B0E20">
        <w:rPr>
          <w:rFonts w:ascii="Arial" w:hAnsi="Arial" w:cs="Arial"/>
        </w:rPr>
        <w:t xml:space="preserve"> </w:t>
      </w:r>
      <w:r w:rsidR="0008459E">
        <w:rPr>
          <w:rFonts w:ascii="Arial" w:hAnsi="Arial" w:cs="Arial"/>
        </w:rPr>
        <w:t>We have also</w:t>
      </w:r>
      <w:r w:rsidR="002B0E20">
        <w:rPr>
          <w:rFonts w:ascii="Arial" w:hAnsi="Arial" w:cs="Arial"/>
        </w:rPr>
        <w:t xml:space="preserve"> improved communication of different religious celebrations and we are engaging with other local public sector organisations to work together on our approaches to tackle abuse towards our colleagues. We have reviewed the Violence and Aggression Working Group and updated the Terms of Reference for this group mov</w:t>
      </w:r>
      <w:r w:rsidR="00D552BE">
        <w:rPr>
          <w:rFonts w:ascii="Arial" w:hAnsi="Arial" w:cs="Arial"/>
        </w:rPr>
        <w:t>ing</w:t>
      </w:r>
      <w:r w:rsidR="002B0E20">
        <w:rPr>
          <w:rFonts w:ascii="Arial" w:hAnsi="Arial" w:cs="Arial"/>
        </w:rPr>
        <w:t xml:space="preserve"> forwar</w:t>
      </w:r>
      <w:r>
        <w:rPr>
          <w:rFonts w:ascii="Arial" w:hAnsi="Arial" w:cs="Arial"/>
        </w:rPr>
        <w:t>d</w:t>
      </w:r>
      <w:r w:rsidR="00D552BE">
        <w:rPr>
          <w:rFonts w:ascii="Arial" w:hAnsi="Arial" w:cs="Arial"/>
        </w:rPr>
        <w:t>s</w:t>
      </w:r>
      <w:r>
        <w:rPr>
          <w:rFonts w:ascii="Arial" w:hAnsi="Arial" w:cs="Arial"/>
        </w:rPr>
        <w:t xml:space="preserve">. </w:t>
      </w:r>
      <w:bookmarkStart w:id="2" w:name="_Hlk146722498"/>
      <w:r w:rsidR="00D552BE">
        <w:rPr>
          <w:rFonts w:ascii="Arial" w:hAnsi="Arial" w:cs="Arial"/>
        </w:rPr>
        <w:t xml:space="preserve">Our </w:t>
      </w:r>
      <w:r w:rsidR="00E277B2">
        <w:rPr>
          <w:rFonts w:ascii="Arial" w:hAnsi="Arial" w:cs="Arial"/>
        </w:rPr>
        <w:t>commitment</w:t>
      </w:r>
      <w:r w:rsidR="00D552BE">
        <w:rPr>
          <w:rFonts w:ascii="Arial" w:hAnsi="Arial" w:cs="Arial"/>
        </w:rPr>
        <w:t xml:space="preserve"> to provid</w:t>
      </w:r>
      <w:r w:rsidR="00E277B2">
        <w:rPr>
          <w:rFonts w:ascii="Arial" w:hAnsi="Arial" w:cs="Arial"/>
        </w:rPr>
        <w:t>ing</w:t>
      </w:r>
      <w:r w:rsidR="00D552BE">
        <w:rPr>
          <w:rFonts w:ascii="Arial" w:hAnsi="Arial" w:cs="Arial"/>
        </w:rPr>
        <w:t xml:space="preserve"> training for staff network members to support diversity on recruitment panels is ongoing.</w:t>
      </w:r>
      <w:bookmarkEnd w:id="2"/>
    </w:p>
    <w:bookmarkEnd w:id="1"/>
    <w:p w14:paraId="6B249F1B" w14:textId="77777777" w:rsidR="00E277B2" w:rsidRDefault="00E277B2" w:rsidP="001B7FB7">
      <w:pPr>
        <w:ind w:left="284"/>
        <w:rPr>
          <w:rFonts w:ascii="Arial" w:hAnsi="Arial" w:cs="Arial"/>
          <w:b/>
          <w:bCs/>
        </w:rPr>
      </w:pPr>
    </w:p>
    <w:p w14:paraId="3E5923CF" w14:textId="77777777" w:rsidR="00E277B2" w:rsidRDefault="00E277B2" w:rsidP="001B7FB7">
      <w:pPr>
        <w:ind w:left="284"/>
        <w:rPr>
          <w:rFonts w:ascii="Arial" w:hAnsi="Arial" w:cs="Arial"/>
          <w:b/>
          <w:bCs/>
        </w:rPr>
      </w:pPr>
    </w:p>
    <w:p w14:paraId="754FDC07" w14:textId="76F8B588" w:rsidR="00967779" w:rsidRDefault="001B7FB7" w:rsidP="001B7FB7">
      <w:pPr>
        <w:ind w:left="284"/>
        <w:rPr>
          <w:rFonts w:ascii="Arial" w:hAnsi="Arial" w:cs="Arial"/>
          <w:b/>
          <w:bCs/>
        </w:rPr>
      </w:pPr>
      <w:r>
        <w:rPr>
          <w:rFonts w:ascii="Arial" w:hAnsi="Arial" w:cs="Arial"/>
          <w:b/>
          <w:bCs/>
        </w:rPr>
        <w:t xml:space="preserve">Three Key Objectives for Improvement - </w:t>
      </w:r>
      <w:r w:rsidR="00967779">
        <w:rPr>
          <w:rFonts w:ascii="Arial" w:hAnsi="Arial" w:cs="Arial"/>
          <w:b/>
          <w:bCs/>
        </w:rPr>
        <w:t>WRES Action Plan 2023-24</w:t>
      </w:r>
    </w:p>
    <w:tbl>
      <w:tblPr>
        <w:tblStyle w:val="TableGrid"/>
        <w:tblW w:w="0" w:type="auto"/>
        <w:tblInd w:w="137" w:type="dxa"/>
        <w:tblLook w:val="04A0" w:firstRow="1" w:lastRow="0" w:firstColumn="1" w:lastColumn="0" w:noHBand="0" w:noVBand="1"/>
      </w:tblPr>
      <w:tblGrid>
        <w:gridCol w:w="3690"/>
        <w:gridCol w:w="4113"/>
        <w:gridCol w:w="2308"/>
        <w:gridCol w:w="1654"/>
        <w:gridCol w:w="3792"/>
      </w:tblGrid>
      <w:tr w:rsidR="00790335" w:rsidRPr="00764F9B" w14:paraId="784111F0" w14:textId="77777777" w:rsidTr="006810D3">
        <w:tc>
          <w:tcPr>
            <w:tcW w:w="3690" w:type="dxa"/>
          </w:tcPr>
          <w:p w14:paraId="688128E5" w14:textId="77777777" w:rsidR="00790335" w:rsidRPr="00764F9B" w:rsidRDefault="00790335" w:rsidP="00241B41">
            <w:pPr>
              <w:tabs>
                <w:tab w:val="left" w:pos="9379"/>
              </w:tabs>
              <w:rPr>
                <w:rFonts w:ascii="Arial" w:hAnsi="Arial" w:cs="Arial"/>
                <w:b/>
                <w:bCs/>
              </w:rPr>
            </w:pPr>
            <w:r w:rsidRPr="00764F9B">
              <w:rPr>
                <w:rFonts w:ascii="Arial" w:hAnsi="Arial" w:cs="Arial"/>
                <w:b/>
                <w:bCs/>
              </w:rPr>
              <w:t>Objective</w:t>
            </w:r>
          </w:p>
        </w:tc>
        <w:tc>
          <w:tcPr>
            <w:tcW w:w="4113" w:type="dxa"/>
          </w:tcPr>
          <w:p w14:paraId="3E0AB6A1" w14:textId="77777777" w:rsidR="00790335" w:rsidRPr="00764F9B" w:rsidRDefault="00790335" w:rsidP="00241B41">
            <w:pPr>
              <w:tabs>
                <w:tab w:val="left" w:pos="9379"/>
              </w:tabs>
              <w:rPr>
                <w:rFonts w:ascii="Arial" w:hAnsi="Arial" w:cs="Arial"/>
                <w:b/>
                <w:bCs/>
              </w:rPr>
            </w:pPr>
            <w:r w:rsidRPr="00764F9B">
              <w:rPr>
                <w:rFonts w:ascii="Arial" w:hAnsi="Arial" w:cs="Arial"/>
                <w:b/>
                <w:bCs/>
              </w:rPr>
              <w:t>Action</w:t>
            </w:r>
          </w:p>
        </w:tc>
        <w:tc>
          <w:tcPr>
            <w:tcW w:w="2308" w:type="dxa"/>
          </w:tcPr>
          <w:p w14:paraId="3C0D055F" w14:textId="77777777" w:rsidR="00790335" w:rsidRPr="00764F9B" w:rsidRDefault="00790335" w:rsidP="00241B41">
            <w:pPr>
              <w:tabs>
                <w:tab w:val="left" w:pos="9379"/>
              </w:tabs>
              <w:rPr>
                <w:rFonts w:ascii="Arial" w:hAnsi="Arial" w:cs="Arial"/>
                <w:b/>
                <w:bCs/>
              </w:rPr>
            </w:pPr>
            <w:r>
              <w:rPr>
                <w:rFonts w:ascii="Arial" w:hAnsi="Arial" w:cs="Arial"/>
                <w:b/>
                <w:bCs/>
              </w:rPr>
              <w:t>Owner</w:t>
            </w:r>
          </w:p>
        </w:tc>
        <w:tc>
          <w:tcPr>
            <w:tcW w:w="1654" w:type="dxa"/>
          </w:tcPr>
          <w:p w14:paraId="5A93E0E8" w14:textId="77777777" w:rsidR="00790335" w:rsidRPr="00764F9B" w:rsidRDefault="00790335" w:rsidP="00241B41">
            <w:pPr>
              <w:tabs>
                <w:tab w:val="left" w:pos="9379"/>
              </w:tabs>
              <w:rPr>
                <w:rFonts w:ascii="Arial" w:hAnsi="Arial" w:cs="Arial"/>
                <w:b/>
                <w:bCs/>
              </w:rPr>
            </w:pPr>
            <w:r w:rsidRPr="00764F9B">
              <w:rPr>
                <w:rFonts w:ascii="Arial" w:hAnsi="Arial" w:cs="Arial"/>
                <w:b/>
                <w:bCs/>
              </w:rPr>
              <w:t>Measure</w:t>
            </w:r>
          </w:p>
        </w:tc>
        <w:tc>
          <w:tcPr>
            <w:tcW w:w="3792" w:type="dxa"/>
          </w:tcPr>
          <w:p w14:paraId="7628047C" w14:textId="77777777" w:rsidR="00790335" w:rsidRPr="00764F9B" w:rsidRDefault="00790335" w:rsidP="00241B41">
            <w:pPr>
              <w:tabs>
                <w:tab w:val="left" w:pos="9379"/>
              </w:tabs>
              <w:rPr>
                <w:rFonts w:ascii="Arial" w:hAnsi="Arial" w:cs="Arial"/>
                <w:b/>
                <w:bCs/>
              </w:rPr>
            </w:pPr>
            <w:r>
              <w:rPr>
                <w:rFonts w:ascii="Arial" w:hAnsi="Arial" w:cs="Arial"/>
                <w:b/>
                <w:bCs/>
              </w:rPr>
              <w:t>Date for completion</w:t>
            </w:r>
          </w:p>
        </w:tc>
      </w:tr>
      <w:tr w:rsidR="00790335" w:rsidRPr="00764F9B" w14:paraId="48F2CC6F" w14:textId="77777777" w:rsidTr="006810D3">
        <w:trPr>
          <w:trHeight w:val="1052"/>
        </w:trPr>
        <w:tc>
          <w:tcPr>
            <w:tcW w:w="3690" w:type="dxa"/>
          </w:tcPr>
          <w:p w14:paraId="735A1EFE" w14:textId="1C754545" w:rsidR="00790335" w:rsidRPr="00133C49" w:rsidRDefault="00790335" w:rsidP="00133C49">
            <w:pPr>
              <w:pStyle w:val="ListParagraph"/>
              <w:numPr>
                <w:ilvl w:val="0"/>
                <w:numId w:val="4"/>
              </w:numPr>
              <w:tabs>
                <w:tab w:val="left" w:pos="9379"/>
              </w:tabs>
              <w:rPr>
                <w:rFonts w:ascii="Arial" w:hAnsi="Arial" w:cs="Arial"/>
              </w:rPr>
            </w:pPr>
            <w:r w:rsidRPr="00133C49">
              <w:rPr>
                <w:rFonts w:ascii="Arial" w:hAnsi="Arial" w:cs="Arial"/>
              </w:rPr>
              <w:t>Maintain performance against indicator 2 for Recruitment of BME applicants</w:t>
            </w:r>
          </w:p>
        </w:tc>
        <w:tc>
          <w:tcPr>
            <w:tcW w:w="4113" w:type="dxa"/>
          </w:tcPr>
          <w:p w14:paraId="6363EB62" w14:textId="77777777" w:rsidR="00790335" w:rsidRDefault="00790335" w:rsidP="00241B41">
            <w:pPr>
              <w:rPr>
                <w:rFonts w:ascii="Arial" w:hAnsi="Arial" w:cs="Arial"/>
                <w:bCs/>
              </w:rPr>
            </w:pPr>
            <w:r w:rsidRPr="000A6A2D">
              <w:rPr>
                <w:rFonts w:ascii="Arial" w:hAnsi="Arial" w:cs="Arial"/>
                <w:bCs/>
              </w:rPr>
              <w:t xml:space="preserve">Provide recruitment and selection training for staff network members to </w:t>
            </w:r>
            <w:r>
              <w:rPr>
                <w:rFonts w:ascii="Arial" w:hAnsi="Arial" w:cs="Arial"/>
                <w:bCs/>
              </w:rPr>
              <w:t>support</w:t>
            </w:r>
            <w:r w:rsidRPr="000A6A2D">
              <w:rPr>
                <w:rFonts w:ascii="Arial" w:hAnsi="Arial" w:cs="Arial"/>
                <w:bCs/>
              </w:rPr>
              <w:t xml:space="preserve"> diversity on recruitment panels.</w:t>
            </w:r>
          </w:p>
          <w:p w14:paraId="0B4A0B36" w14:textId="77777777" w:rsidR="00790335" w:rsidRDefault="00790335" w:rsidP="00241B41">
            <w:pPr>
              <w:rPr>
                <w:rFonts w:ascii="Arial" w:hAnsi="Arial" w:cs="Arial"/>
                <w:bCs/>
              </w:rPr>
            </w:pPr>
          </w:p>
          <w:p w14:paraId="27AB6BE5" w14:textId="77777777" w:rsidR="00790335" w:rsidRPr="00764F9B" w:rsidRDefault="00790335" w:rsidP="00790335">
            <w:pPr>
              <w:rPr>
                <w:rFonts w:ascii="Arial" w:hAnsi="Arial" w:cs="Arial"/>
              </w:rPr>
            </w:pPr>
          </w:p>
        </w:tc>
        <w:tc>
          <w:tcPr>
            <w:tcW w:w="2308" w:type="dxa"/>
          </w:tcPr>
          <w:p w14:paraId="7656E52A" w14:textId="77777777" w:rsidR="00790335" w:rsidRDefault="00790335" w:rsidP="00241B41">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7EA26634" w14:textId="77777777" w:rsidR="00790335" w:rsidRDefault="00790335" w:rsidP="00241B41">
            <w:pPr>
              <w:tabs>
                <w:tab w:val="left" w:pos="9379"/>
              </w:tabs>
              <w:rPr>
                <w:rFonts w:ascii="Arial" w:hAnsi="Arial" w:cs="Arial"/>
              </w:rPr>
            </w:pPr>
            <w:r>
              <w:rPr>
                <w:rFonts w:ascii="Arial" w:hAnsi="Arial" w:cs="Arial"/>
              </w:rPr>
              <w:t>Staff Network Chairs</w:t>
            </w:r>
          </w:p>
          <w:p w14:paraId="3737D319" w14:textId="77777777" w:rsidR="00790335" w:rsidRDefault="00790335" w:rsidP="00241B41">
            <w:pPr>
              <w:tabs>
                <w:tab w:val="left" w:pos="9379"/>
              </w:tabs>
              <w:rPr>
                <w:rFonts w:ascii="Arial" w:hAnsi="Arial" w:cs="Arial"/>
              </w:rPr>
            </w:pPr>
          </w:p>
          <w:p w14:paraId="73AA49CF" w14:textId="77777777" w:rsidR="00790335" w:rsidRDefault="00790335" w:rsidP="00241B41">
            <w:pPr>
              <w:tabs>
                <w:tab w:val="left" w:pos="9379"/>
              </w:tabs>
              <w:rPr>
                <w:rFonts w:ascii="Arial" w:hAnsi="Arial" w:cs="Arial"/>
              </w:rPr>
            </w:pPr>
          </w:p>
          <w:p w14:paraId="0D53F5B8" w14:textId="65D371C8" w:rsidR="00790335" w:rsidRDefault="00790335" w:rsidP="00241B41">
            <w:pPr>
              <w:tabs>
                <w:tab w:val="left" w:pos="9379"/>
              </w:tabs>
              <w:rPr>
                <w:rFonts w:ascii="Arial" w:hAnsi="Arial" w:cs="Arial"/>
              </w:rPr>
            </w:pPr>
          </w:p>
        </w:tc>
        <w:tc>
          <w:tcPr>
            <w:tcW w:w="1654" w:type="dxa"/>
          </w:tcPr>
          <w:p w14:paraId="690652DC" w14:textId="77777777" w:rsidR="00790335" w:rsidRDefault="00790335" w:rsidP="00241B41">
            <w:pPr>
              <w:tabs>
                <w:tab w:val="left" w:pos="9379"/>
              </w:tabs>
              <w:rPr>
                <w:rFonts w:ascii="Arial" w:hAnsi="Arial" w:cs="Arial"/>
              </w:rPr>
            </w:pPr>
            <w:r>
              <w:rPr>
                <w:rFonts w:ascii="Arial" w:hAnsi="Arial" w:cs="Arial"/>
              </w:rPr>
              <w:t>Maintain and/or improve on result for indicator 2</w:t>
            </w:r>
          </w:p>
          <w:p w14:paraId="32A59E0C" w14:textId="77777777" w:rsidR="00790335" w:rsidRDefault="00790335" w:rsidP="00241B41">
            <w:pPr>
              <w:tabs>
                <w:tab w:val="left" w:pos="9379"/>
              </w:tabs>
              <w:rPr>
                <w:rFonts w:ascii="Arial" w:hAnsi="Arial" w:cs="Arial"/>
              </w:rPr>
            </w:pPr>
          </w:p>
          <w:p w14:paraId="16AD0588" w14:textId="77777777" w:rsidR="00790335" w:rsidRDefault="00790335" w:rsidP="00241B41">
            <w:pPr>
              <w:tabs>
                <w:tab w:val="left" w:pos="9379"/>
              </w:tabs>
              <w:rPr>
                <w:rFonts w:ascii="Arial" w:hAnsi="Arial" w:cs="Arial"/>
              </w:rPr>
            </w:pPr>
          </w:p>
          <w:p w14:paraId="2846F7A6" w14:textId="7BC0F080" w:rsidR="00790335" w:rsidRPr="00764F9B" w:rsidRDefault="00790335" w:rsidP="00241B41">
            <w:pPr>
              <w:tabs>
                <w:tab w:val="left" w:pos="9379"/>
              </w:tabs>
              <w:rPr>
                <w:rFonts w:ascii="Arial" w:hAnsi="Arial" w:cs="Arial"/>
              </w:rPr>
            </w:pPr>
          </w:p>
        </w:tc>
        <w:tc>
          <w:tcPr>
            <w:tcW w:w="3792" w:type="dxa"/>
          </w:tcPr>
          <w:p w14:paraId="45976E8D" w14:textId="77777777" w:rsidR="00790335" w:rsidRDefault="00790335" w:rsidP="00241B41">
            <w:pPr>
              <w:tabs>
                <w:tab w:val="left" w:pos="9379"/>
              </w:tabs>
              <w:rPr>
                <w:rFonts w:ascii="Arial" w:hAnsi="Arial" w:cs="Arial"/>
              </w:rPr>
            </w:pPr>
            <w:r>
              <w:rPr>
                <w:rFonts w:ascii="Arial" w:hAnsi="Arial" w:cs="Arial"/>
              </w:rPr>
              <w:t>On-going; training will be offered to members on an ongoing basis</w:t>
            </w:r>
          </w:p>
          <w:p w14:paraId="2CEADB7B" w14:textId="77777777" w:rsidR="00790335" w:rsidRPr="00764F9B" w:rsidRDefault="00790335" w:rsidP="00790335">
            <w:pPr>
              <w:tabs>
                <w:tab w:val="left" w:pos="9379"/>
              </w:tabs>
              <w:rPr>
                <w:rFonts w:ascii="Arial" w:hAnsi="Arial" w:cs="Arial"/>
              </w:rPr>
            </w:pPr>
          </w:p>
        </w:tc>
      </w:tr>
      <w:tr w:rsidR="00790335" w:rsidRPr="00764F9B" w14:paraId="05E819C1" w14:textId="77777777" w:rsidTr="006810D3">
        <w:tc>
          <w:tcPr>
            <w:tcW w:w="3690" w:type="dxa"/>
          </w:tcPr>
          <w:p w14:paraId="2599AB7F" w14:textId="5BA3B40D" w:rsidR="00790335" w:rsidRPr="00133C49" w:rsidRDefault="006810D3" w:rsidP="00133C49">
            <w:pPr>
              <w:pStyle w:val="ListParagraph"/>
              <w:numPr>
                <w:ilvl w:val="0"/>
                <w:numId w:val="4"/>
              </w:numPr>
              <w:tabs>
                <w:tab w:val="left" w:pos="9379"/>
              </w:tabs>
              <w:rPr>
                <w:rFonts w:ascii="Arial" w:hAnsi="Arial" w:cs="Arial"/>
              </w:rPr>
            </w:pPr>
            <w:r w:rsidRPr="00133C49">
              <w:rPr>
                <w:rFonts w:ascii="Arial" w:hAnsi="Arial" w:cs="Arial"/>
              </w:rPr>
              <w:t xml:space="preserve">Embed Anti-Racism </w:t>
            </w:r>
            <w:r w:rsidR="00F46331" w:rsidRPr="00133C49">
              <w:rPr>
                <w:rFonts w:ascii="Arial" w:hAnsi="Arial" w:cs="Arial"/>
              </w:rPr>
              <w:t>message</w:t>
            </w:r>
            <w:r w:rsidRPr="00133C49">
              <w:rPr>
                <w:rFonts w:ascii="Arial" w:hAnsi="Arial" w:cs="Arial"/>
              </w:rPr>
              <w:t xml:space="preserve"> and r</w:t>
            </w:r>
            <w:r w:rsidR="00933C7E" w:rsidRPr="00133C49">
              <w:rPr>
                <w:rFonts w:ascii="Arial" w:hAnsi="Arial" w:cs="Arial"/>
              </w:rPr>
              <w:t xml:space="preserve">educe the percentage of colleagues reporting bullying, harassment, discrimination and violence and aggression </w:t>
            </w:r>
          </w:p>
        </w:tc>
        <w:tc>
          <w:tcPr>
            <w:tcW w:w="4113" w:type="dxa"/>
          </w:tcPr>
          <w:p w14:paraId="2C3AE06A" w14:textId="7BD42CD8" w:rsidR="00933C7E" w:rsidRDefault="00933C7E" w:rsidP="00241B41">
            <w:pPr>
              <w:tabs>
                <w:tab w:val="left" w:pos="9379"/>
              </w:tabs>
              <w:rPr>
                <w:rFonts w:ascii="Arial" w:hAnsi="Arial" w:cs="Arial"/>
              </w:rPr>
            </w:pPr>
            <w:r>
              <w:rPr>
                <w:rFonts w:ascii="Arial" w:hAnsi="Arial" w:cs="Arial"/>
              </w:rPr>
              <w:t>Engage colleagues in what they think will support a reduction through REACH OUT! and Staff Networks</w:t>
            </w:r>
          </w:p>
          <w:p w14:paraId="15C962EB" w14:textId="69E47C01" w:rsidR="006810D3" w:rsidRDefault="006810D3" w:rsidP="00241B41">
            <w:pPr>
              <w:tabs>
                <w:tab w:val="left" w:pos="9379"/>
              </w:tabs>
              <w:rPr>
                <w:rFonts w:ascii="Arial" w:hAnsi="Arial" w:cs="Arial"/>
              </w:rPr>
            </w:pPr>
          </w:p>
          <w:p w14:paraId="0FD0FBBE" w14:textId="77777777" w:rsidR="006810D3" w:rsidRDefault="006810D3" w:rsidP="00241B41">
            <w:pPr>
              <w:tabs>
                <w:tab w:val="left" w:pos="9379"/>
              </w:tabs>
              <w:rPr>
                <w:rFonts w:ascii="Arial" w:hAnsi="Arial" w:cs="Arial"/>
              </w:rPr>
            </w:pPr>
          </w:p>
          <w:p w14:paraId="7D7619C3" w14:textId="59099450" w:rsidR="006810D3" w:rsidRDefault="006810D3" w:rsidP="00241B41">
            <w:pPr>
              <w:tabs>
                <w:tab w:val="left" w:pos="9379"/>
              </w:tabs>
              <w:rPr>
                <w:rFonts w:ascii="Arial" w:hAnsi="Arial" w:cs="Arial"/>
              </w:rPr>
            </w:pPr>
            <w:r>
              <w:rPr>
                <w:rFonts w:ascii="Arial" w:hAnsi="Arial" w:cs="Arial"/>
              </w:rPr>
              <w:t xml:space="preserve">Focus groups </w:t>
            </w:r>
            <w:r w:rsidR="00F46331">
              <w:rPr>
                <w:rFonts w:ascii="Arial" w:hAnsi="Arial" w:cs="Arial"/>
              </w:rPr>
              <w:t xml:space="preserve">with colleagues </w:t>
            </w:r>
            <w:r>
              <w:rPr>
                <w:rFonts w:ascii="Arial" w:hAnsi="Arial" w:cs="Arial"/>
              </w:rPr>
              <w:t xml:space="preserve">to be led by </w:t>
            </w:r>
            <w:r w:rsidRPr="006810D3">
              <w:rPr>
                <w:rFonts w:ascii="Arial" w:hAnsi="Arial" w:cs="Arial"/>
              </w:rPr>
              <w:t>Violence &amp; Aggression Working Group</w:t>
            </w:r>
            <w:r>
              <w:rPr>
                <w:rFonts w:ascii="Arial" w:hAnsi="Arial" w:cs="Arial"/>
              </w:rPr>
              <w:t xml:space="preserve"> members to better understand colleague experience</w:t>
            </w:r>
          </w:p>
          <w:p w14:paraId="44D88694" w14:textId="41AFB8E7" w:rsidR="00933C7E" w:rsidRDefault="00933C7E" w:rsidP="00241B41">
            <w:pPr>
              <w:tabs>
                <w:tab w:val="left" w:pos="9379"/>
              </w:tabs>
              <w:rPr>
                <w:rFonts w:ascii="Arial" w:hAnsi="Arial" w:cs="Arial"/>
              </w:rPr>
            </w:pPr>
          </w:p>
          <w:p w14:paraId="0D55474B" w14:textId="61E90ECC" w:rsidR="00933C7E" w:rsidRDefault="00933C7E" w:rsidP="00241B41">
            <w:pPr>
              <w:tabs>
                <w:tab w:val="left" w:pos="9379"/>
              </w:tabs>
              <w:rPr>
                <w:rFonts w:ascii="Arial" w:hAnsi="Arial" w:cs="Arial"/>
              </w:rPr>
            </w:pPr>
            <w:r>
              <w:rPr>
                <w:rFonts w:ascii="Arial" w:hAnsi="Arial" w:cs="Arial"/>
              </w:rPr>
              <w:t>Signpost colleagues to Staff Network support as part of Care Values refresh</w:t>
            </w:r>
          </w:p>
          <w:p w14:paraId="576E6573" w14:textId="77777777" w:rsidR="00F46331" w:rsidRDefault="00F46331" w:rsidP="00241B41">
            <w:pPr>
              <w:tabs>
                <w:tab w:val="left" w:pos="9379"/>
              </w:tabs>
              <w:rPr>
                <w:rFonts w:ascii="Arial" w:hAnsi="Arial" w:cs="Arial"/>
              </w:rPr>
            </w:pPr>
          </w:p>
          <w:p w14:paraId="5E9524EF" w14:textId="711BED60" w:rsidR="00790335" w:rsidRDefault="00933C7E" w:rsidP="00241B41">
            <w:pPr>
              <w:tabs>
                <w:tab w:val="left" w:pos="9379"/>
              </w:tabs>
              <w:rPr>
                <w:rFonts w:ascii="Arial" w:hAnsi="Arial" w:cs="Arial"/>
                <w:bCs/>
              </w:rPr>
            </w:pPr>
            <w:r>
              <w:rPr>
                <w:rFonts w:ascii="Arial" w:hAnsi="Arial" w:cs="Arial"/>
              </w:rPr>
              <w:t xml:space="preserve">Reduction targets to be agreed from 2023 Staff Survey results </w:t>
            </w:r>
            <w:r w:rsidR="006810D3">
              <w:rPr>
                <w:rFonts w:ascii="Arial" w:hAnsi="Arial" w:cs="Arial"/>
              </w:rPr>
              <w:t>(</w:t>
            </w:r>
            <w:r w:rsidR="006810D3">
              <w:rPr>
                <w:rFonts w:ascii="Arial" w:hAnsi="Arial" w:cs="Arial"/>
                <w:bCs/>
              </w:rPr>
              <w:t>part of the national EDI Improvement Plan)</w:t>
            </w:r>
          </w:p>
          <w:p w14:paraId="73D0C27B" w14:textId="77777777" w:rsidR="006810D3" w:rsidRDefault="006810D3" w:rsidP="00241B41">
            <w:pPr>
              <w:tabs>
                <w:tab w:val="left" w:pos="9379"/>
              </w:tabs>
              <w:rPr>
                <w:rFonts w:ascii="Arial" w:hAnsi="Arial" w:cs="Arial"/>
                <w:bCs/>
              </w:rPr>
            </w:pPr>
          </w:p>
          <w:p w14:paraId="1354F391" w14:textId="32E3FF46" w:rsidR="006810D3" w:rsidRPr="00764F9B" w:rsidRDefault="006810D3" w:rsidP="00241B41">
            <w:pPr>
              <w:tabs>
                <w:tab w:val="left" w:pos="9379"/>
              </w:tabs>
              <w:rPr>
                <w:rFonts w:ascii="Arial" w:hAnsi="Arial" w:cs="Arial"/>
              </w:rPr>
            </w:pPr>
            <w:r>
              <w:rPr>
                <w:rFonts w:ascii="Arial" w:hAnsi="Arial" w:cs="Arial"/>
                <w:bCs/>
              </w:rPr>
              <w:t>Audit of prominence of Anti-Racism posters Trust-wide</w:t>
            </w:r>
          </w:p>
        </w:tc>
        <w:tc>
          <w:tcPr>
            <w:tcW w:w="2308" w:type="dxa"/>
          </w:tcPr>
          <w:p w14:paraId="5D3736C4" w14:textId="77777777" w:rsidR="00790335" w:rsidRDefault="00790335" w:rsidP="00241B41">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4E75AA13" w14:textId="4B8030FA" w:rsidR="00933C7E" w:rsidRDefault="00933C7E" w:rsidP="00241B41">
            <w:pPr>
              <w:tabs>
                <w:tab w:val="left" w:pos="9379"/>
              </w:tabs>
              <w:rPr>
                <w:rFonts w:ascii="Arial" w:hAnsi="Arial" w:cs="Arial"/>
              </w:rPr>
            </w:pPr>
            <w:r>
              <w:rPr>
                <w:rFonts w:ascii="Arial" w:hAnsi="Arial" w:cs="Arial"/>
              </w:rPr>
              <w:t>EM Staff Network Chair/Co-Chair</w:t>
            </w:r>
          </w:p>
          <w:p w14:paraId="0FE3CC20" w14:textId="311AB148" w:rsidR="006810D3" w:rsidRDefault="006810D3" w:rsidP="00241B41">
            <w:pPr>
              <w:tabs>
                <w:tab w:val="left" w:pos="9379"/>
              </w:tabs>
              <w:rPr>
                <w:rFonts w:ascii="Arial" w:hAnsi="Arial" w:cs="Arial"/>
              </w:rPr>
            </w:pPr>
          </w:p>
          <w:p w14:paraId="0E23B922" w14:textId="77777777" w:rsidR="006810D3" w:rsidRDefault="006810D3" w:rsidP="00241B41">
            <w:pPr>
              <w:tabs>
                <w:tab w:val="left" w:pos="9379"/>
              </w:tabs>
              <w:rPr>
                <w:rFonts w:ascii="Arial" w:hAnsi="Arial" w:cs="Arial"/>
              </w:rPr>
            </w:pPr>
          </w:p>
          <w:p w14:paraId="680FDFD6" w14:textId="5F5655BA" w:rsidR="006810D3" w:rsidRDefault="006810D3" w:rsidP="00241B41">
            <w:pPr>
              <w:tabs>
                <w:tab w:val="left" w:pos="9379"/>
              </w:tabs>
              <w:rPr>
                <w:rFonts w:ascii="Arial" w:hAnsi="Arial" w:cs="Arial"/>
              </w:rPr>
            </w:pPr>
            <w:r>
              <w:rPr>
                <w:rFonts w:ascii="Arial" w:hAnsi="Arial" w:cs="Arial"/>
              </w:rPr>
              <w:t>DDoPeople</w:t>
            </w:r>
          </w:p>
          <w:p w14:paraId="16D3A4AB" w14:textId="77777777" w:rsidR="00933C7E" w:rsidRDefault="00933C7E" w:rsidP="00241B41">
            <w:pPr>
              <w:tabs>
                <w:tab w:val="left" w:pos="9379"/>
              </w:tabs>
              <w:rPr>
                <w:rFonts w:ascii="Arial" w:hAnsi="Arial" w:cs="Arial"/>
              </w:rPr>
            </w:pPr>
          </w:p>
          <w:p w14:paraId="201E4C82" w14:textId="77777777" w:rsidR="006810D3" w:rsidRDefault="006810D3" w:rsidP="00241B41">
            <w:pPr>
              <w:tabs>
                <w:tab w:val="left" w:pos="9379"/>
              </w:tabs>
              <w:rPr>
                <w:rFonts w:ascii="Arial" w:hAnsi="Arial" w:cs="Arial"/>
              </w:rPr>
            </w:pPr>
          </w:p>
          <w:p w14:paraId="09B428FC" w14:textId="77777777" w:rsidR="006810D3" w:rsidRDefault="006810D3" w:rsidP="00241B41">
            <w:pPr>
              <w:tabs>
                <w:tab w:val="left" w:pos="9379"/>
              </w:tabs>
              <w:rPr>
                <w:rFonts w:ascii="Arial" w:hAnsi="Arial" w:cs="Arial"/>
              </w:rPr>
            </w:pPr>
          </w:p>
          <w:p w14:paraId="7C43FEBF" w14:textId="77777777" w:rsidR="006810D3" w:rsidRDefault="006810D3" w:rsidP="00241B41">
            <w:pPr>
              <w:tabs>
                <w:tab w:val="left" w:pos="9379"/>
              </w:tabs>
              <w:rPr>
                <w:rFonts w:ascii="Arial" w:hAnsi="Arial" w:cs="Arial"/>
              </w:rPr>
            </w:pPr>
          </w:p>
          <w:p w14:paraId="401C3C36" w14:textId="6EA8C99B" w:rsidR="00933C7E" w:rsidRDefault="00933C7E" w:rsidP="00241B41">
            <w:pPr>
              <w:tabs>
                <w:tab w:val="left" w:pos="9379"/>
              </w:tabs>
              <w:rPr>
                <w:rFonts w:ascii="Arial" w:hAnsi="Arial" w:cs="Arial"/>
              </w:rPr>
            </w:pPr>
            <w:r>
              <w:rPr>
                <w:rFonts w:ascii="Arial" w:hAnsi="Arial" w:cs="Arial"/>
              </w:rPr>
              <w:t>HoC&amp;E</w:t>
            </w:r>
          </w:p>
          <w:p w14:paraId="455C484F" w14:textId="77777777" w:rsidR="00933C7E" w:rsidRDefault="00933C7E" w:rsidP="00241B41">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6D5CE637" w14:textId="77777777" w:rsidR="006810D3" w:rsidRDefault="006810D3" w:rsidP="00241B41">
            <w:pPr>
              <w:tabs>
                <w:tab w:val="left" w:pos="9379"/>
              </w:tabs>
              <w:rPr>
                <w:rFonts w:ascii="Arial" w:hAnsi="Arial" w:cs="Arial"/>
              </w:rPr>
            </w:pPr>
          </w:p>
          <w:p w14:paraId="10DEFF75" w14:textId="77777777" w:rsidR="00F46331" w:rsidRDefault="00F46331" w:rsidP="006810D3">
            <w:pPr>
              <w:tabs>
                <w:tab w:val="left" w:pos="9379"/>
              </w:tabs>
              <w:rPr>
                <w:rFonts w:ascii="Arial" w:hAnsi="Arial" w:cs="Arial"/>
              </w:rPr>
            </w:pPr>
          </w:p>
          <w:p w14:paraId="17797021" w14:textId="77777777" w:rsidR="00F46331" w:rsidRDefault="00F46331" w:rsidP="006810D3">
            <w:pPr>
              <w:tabs>
                <w:tab w:val="left" w:pos="9379"/>
              </w:tabs>
              <w:rPr>
                <w:rFonts w:ascii="Arial" w:hAnsi="Arial" w:cs="Arial"/>
              </w:rPr>
            </w:pPr>
          </w:p>
          <w:p w14:paraId="1FF8B45C" w14:textId="55FAF442" w:rsidR="006810D3" w:rsidRDefault="006810D3" w:rsidP="006810D3">
            <w:pPr>
              <w:tabs>
                <w:tab w:val="left" w:pos="9379"/>
              </w:tabs>
              <w:rPr>
                <w:rFonts w:ascii="Arial" w:hAnsi="Arial" w:cs="Arial"/>
              </w:rPr>
            </w:pPr>
            <w:r>
              <w:rPr>
                <w:rFonts w:ascii="Arial" w:hAnsi="Arial" w:cs="Arial"/>
              </w:rPr>
              <w:t>HoC&amp;E</w:t>
            </w:r>
          </w:p>
          <w:p w14:paraId="71188DE0" w14:textId="77777777" w:rsidR="006810D3" w:rsidRDefault="006810D3" w:rsidP="006810D3">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035268C2" w14:textId="77777777" w:rsidR="006810D3" w:rsidRDefault="006810D3" w:rsidP="006810D3">
            <w:pPr>
              <w:tabs>
                <w:tab w:val="left" w:pos="9379"/>
              </w:tabs>
              <w:rPr>
                <w:rFonts w:ascii="Arial" w:hAnsi="Arial" w:cs="Arial"/>
              </w:rPr>
            </w:pPr>
          </w:p>
          <w:p w14:paraId="33A380EA" w14:textId="77777777" w:rsidR="006810D3" w:rsidRDefault="006810D3" w:rsidP="006810D3">
            <w:pPr>
              <w:tabs>
                <w:tab w:val="left" w:pos="9379"/>
              </w:tabs>
              <w:rPr>
                <w:rFonts w:ascii="Arial" w:hAnsi="Arial" w:cs="Arial"/>
              </w:rPr>
            </w:pPr>
          </w:p>
          <w:p w14:paraId="3D10BFA4" w14:textId="4BDF06F9" w:rsidR="006810D3" w:rsidRPr="00764F9B" w:rsidRDefault="006810D3" w:rsidP="006810D3">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tc>
        <w:tc>
          <w:tcPr>
            <w:tcW w:w="1654" w:type="dxa"/>
          </w:tcPr>
          <w:p w14:paraId="1C2AE0B0" w14:textId="52718573" w:rsidR="00790335" w:rsidRDefault="006810D3" w:rsidP="00241B41">
            <w:pPr>
              <w:tabs>
                <w:tab w:val="left" w:pos="9379"/>
              </w:tabs>
              <w:rPr>
                <w:rFonts w:ascii="Arial" w:hAnsi="Arial" w:cs="Arial"/>
              </w:rPr>
            </w:pPr>
            <w:r>
              <w:rPr>
                <w:rFonts w:ascii="Arial" w:hAnsi="Arial" w:cs="Arial"/>
              </w:rPr>
              <w:t>Improvements in results for indicators 5, 6 and 8</w:t>
            </w:r>
            <w:r w:rsidR="005908F6">
              <w:rPr>
                <w:rFonts w:ascii="Arial" w:hAnsi="Arial" w:cs="Arial"/>
              </w:rPr>
              <w:t xml:space="preserve"> and see a reduction in the disparity of experience between BME and White British colleagues</w:t>
            </w:r>
          </w:p>
          <w:p w14:paraId="2AF69200" w14:textId="77777777" w:rsidR="005908F6" w:rsidRDefault="005908F6" w:rsidP="00241B41">
            <w:pPr>
              <w:tabs>
                <w:tab w:val="left" w:pos="9379"/>
              </w:tabs>
              <w:rPr>
                <w:rFonts w:ascii="Arial" w:hAnsi="Arial" w:cs="Arial"/>
              </w:rPr>
            </w:pPr>
          </w:p>
          <w:p w14:paraId="4694D8BC" w14:textId="33FA78BC" w:rsidR="005908F6" w:rsidRPr="00764F9B" w:rsidRDefault="005908F6" w:rsidP="00241B41">
            <w:pPr>
              <w:tabs>
                <w:tab w:val="left" w:pos="9379"/>
              </w:tabs>
              <w:rPr>
                <w:rFonts w:ascii="Arial" w:hAnsi="Arial" w:cs="Arial"/>
              </w:rPr>
            </w:pPr>
          </w:p>
        </w:tc>
        <w:tc>
          <w:tcPr>
            <w:tcW w:w="3792" w:type="dxa"/>
          </w:tcPr>
          <w:p w14:paraId="77214B8B" w14:textId="0B820ACC" w:rsidR="00790335" w:rsidRDefault="006810D3" w:rsidP="00241B41">
            <w:pPr>
              <w:tabs>
                <w:tab w:val="left" w:pos="9379"/>
              </w:tabs>
              <w:rPr>
                <w:rFonts w:ascii="Arial" w:hAnsi="Arial" w:cs="Arial"/>
              </w:rPr>
            </w:pPr>
            <w:r>
              <w:rPr>
                <w:rFonts w:ascii="Arial" w:hAnsi="Arial" w:cs="Arial"/>
              </w:rPr>
              <w:t>On-going; lived experiences and lessons learnt will be an on-going priority at events and network meetings</w:t>
            </w:r>
          </w:p>
          <w:p w14:paraId="16E4E57D" w14:textId="6644BAC8" w:rsidR="006810D3" w:rsidRDefault="006810D3" w:rsidP="00241B41">
            <w:pPr>
              <w:tabs>
                <w:tab w:val="left" w:pos="9379"/>
              </w:tabs>
              <w:rPr>
                <w:rFonts w:ascii="Arial" w:hAnsi="Arial" w:cs="Arial"/>
              </w:rPr>
            </w:pPr>
          </w:p>
          <w:p w14:paraId="75BE8AB5" w14:textId="64AED975" w:rsidR="006810D3" w:rsidRDefault="006810D3" w:rsidP="00241B41">
            <w:pPr>
              <w:tabs>
                <w:tab w:val="left" w:pos="9379"/>
              </w:tabs>
              <w:rPr>
                <w:rFonts w:ascii="Arial" w:hAnsi="Arial" w:cs="Arial"/>
              </w:rPr>
            </w:pPr>
            <w:r>
              <w:rPr>
                <w:rFonts w:ascii="Arial" w:hAnsi="Arial" w:cs="Arial"/>
              </w:rPr>
              <w:t>Focus groups</w:t>
            </w:r>
            <w:r w:rsidR="00F46331">
              <w:rPr>
                <w:rFonts w:ascii="Arial" w:hAnsi="Arial" w:cs="Arial"/>
              </w:rPr>
              <w:t xml:space="preserve"> will be arranged by Q4 23/24</w:t>
            </w:r>
          </w:p>
          <w:p w14:paraId="22D951CB" w14:textId="0623AEFE" w:rsidR="00F46331" w:rsidRDefault="00F46331" w:rsidP="00241B41">
            <w:pPr>
              <w:tabs>
                <w:tab w:val="left" w:pos="9379"/>
              </w:tabs>
              <w:rPr>
                <w:rFonts w:ascii="Arial" w:hAnsi="Arial" w:cs="Arial"/>
              </w:rPr>
            </w:pPr>
          </w:p>
          <w:p w14:paraId="21FCFC60" w14:textId="016AA7E6" w:rsidR="00F46331" w:rsidRDefault="00F46331" w:rsidP="00241B41">
            <w:pPr>
              <w:tabs>
                <w:tab w:val="left" w:pos="9379"/>
              </w:tabs>
              <w:rPr>
                <w:rFonts w:ascii="Arial" w:hAnsi="Arial" w:cs="Arial"/>
              </w:rPr>
            </w:pPr>
          </w:p>
          <w:p w14:paraId="73B7DECB" w14:textId="6FEB1372" w:rsidR="00F46331" w:rsidRDefault="00F46331" w:rsidP="00241B41">
            <w:pPr>
              <w:tabs>
                <w:tab w:val="left" w:pos="9379"/>
              </w:tabs>
              <w:rPr>
                <w:rFonts w:ascii="Arial" w:hAnsi="Arial" w:cs="Arial"/>
              </w:rPr>
            </w:pPr>
          </w:p>
          <w:p w14:paraId="2855F1FA" w14:textId="28CF67E6" w:rsidR="00F46331" w:rsidRDefault="00F46331" w:rsidP="00241B41">
            <w:pPr>
              <w:tabs>
                <w:tab w:val="left" w:pos="9379"/>
              </w:tabs>
              <w:rPr>
                <w:rFonts w:ascii="Arial" w:hAnsi="Arial" w:cs="Arial"/>
              </w:rPr>
            </w:pPr>
            <w:r>
              <w:rPr>
                <w:rFonts w:ascii="Arial" w:hAnsi="Arial" w:cs="Arial"/>
              </w:rPr>
              <w:t>Care Values refresh due by the end of Q4</w:t>
            </w:r>
          </w:p>
          <w:p w14:paraId="37D1A817" w14:textId="012A436A" w:rsidR="00F46331" w:rsidRDefault="00F46331" w:rsidP="00241B41">
            <w:pPr>
              <w:tabs>
                <w:tab w:val="left" w:pos="9379"/>
              </w:tabs>
              <w:rPr>
                <w:rFonts w:ascii="Arial" w:hAnsi="Arial" w:cs="Arial"/>
              </w:rPr>
            </w:pPr>
          </w:p>
          <w:p w14:paraId="4D68F0CE" w14:textId="4DEAEAA0" w:rsidR="00F46331" w:rsidRDefault="00F46331" w:rsidP="00241B41">
            <w:pPr>
              <w:tabs>
                <w:tab w:val="left" w:pos="9379"/>
              </w:tabs>
              <w:rPr>
                <w:rFonts w:ascii="Arial" w:hAnsi="Arial" w:cs="Arial"/>
              </w:rPr>
            </w:pPr>
          </w:p>
          <w:p w14:paraId="4837CE9F" w14:textId="1FFE8314" w:rsidR="00F46331" w:rsidRDefault="00F46331" w:rsidP="00241B41">
            <w:pPr>
              <w:tabs>
                <w:tab w:val="left" w:pos="9379"/>
              </w:tabs>
              <w:rPr>
                <w:rFonts w:ascii="Arial" w:hAnsi="Arial" w:cs="Arial"/>
              </w:rPr>
            </w:pPr>
          </w:p>
          <w:p w14:paraId="01F75D87" w14:textId="6D76EF78" w:rsidR="00F46331" w:rsidRDefault="00F46331" w:rsidP="00241B41">
            <w:pPr>
              <w:tabs>
                <w:tab w:val="left" w:pos="9379"/>
              </w:tabs>
              <w:rPr>
                <w:rFonts w:ascii="Arial" w:hAnsi="Arial" w:cs="Arial"/>
              </w:rPr>
            </w:pPr>
            <w:r>
              <w:rPr>
                <w:rFonts w:ascii="Arial" w:hAnsi="Arial" w:cs="Arial"/>
              </w:rPr>
              <w:t>Results will be available to review by March ‘24</w:t>
            </w:r>
          </w:p>
          <w:p w14:paraId="06CDB46D" w14:textId="1C8F6762" w:rsidR="00F46331" w:rsidRDefault="00F46331" w:rsidP="00241B41">
            <w:pPr>
              <w:tabs>
                <w:tab w:val="left" w:pos="9379"/>
              </w:tabs>
              <w:rPr>
                <w:rFonts w:ascii="Arial" w:hAnsi="Arial" w:cs="Arial"/>
              </w:rPr>
            </w:pPr>
          </w:p>
          <w:p w14:paraId="447DCD67" w14:textId="293DC81A" w:rsidR="00F46331" w:rsidRDefault="00F46331" w:rsidP="00241B41">
            <w:pPr>
              <w:tabs>
                <w:tab w:val="left" w:pos="9379"/>
              </w:tabs>
              <w:rPr>
                <w:rFonts w:ascii="Arial" w:hAnsi="Arial" w:cs="Arial"/>
              </w:rPr>
            </w:pPr>
          </w:p>
          <w:p w14:paraId="65CDEC30" w14:textId="11648E46" w:rsidR="00F46331" w:rsidRDefault="00F46331" w:rsidP="00241B41">
            <w:pPr>
              <w:tabs>
                <w:tab w:val="left" w:pos="9379"/>
              </w:tabs>
              <w:rPr>
                <w:rFonts w:ascii="Arial" w:hAnsi="Arial" w:cs="Arial"/>
              </w:rPr>
            </w:pPr>
            <w:r>
              <w:rPr>
                <w:rFonts w:ascii="Arial" w:hAnsi="Arial" w:cs="Arial"/>
              </w:rPr>
              <w:t>Audit to be completed by the end of Q4 23/24.</w:t>
            </w:r>
          </w:p>
          <w:p w14:paraId="574B7C30" w14:textId="65FB5CBA" w:rsidR="006810D3" w:rsidRPr="00764F9B" w:rsidRDefault="006810D3" w:rsidP="00241B41">
            <w:pPr>
              <w:tabs>
                <w:tab w:val="left" w:pos="9379"/>
              </w:tabs>
              <w:rPr>
                <w:rFonts w:ascii="Arial" w:hAnsi="Arial" w:cs="Arial"/>
              </w:rPr>
            </w:pPr>
          </w:p>
        </w:tc>
      </w:tr>
      <w:tr w:rsidR="00790335" w:rsidRPr="00764F9B" w14:paraId="3289D7C5" w14:textId="77777777" w:rsidTr="006810D3">
        <w:tc>
          <w:tcPr>
            <w:tcW w:w="3690" w:type="dxa"/>
          </w:tcPr>
          <w:p w14:paraId="24AE49D8" w14:textId="39A49428" w:rsidR="00790335" w:rsidRPr="00133C49" w:rsidRDefault="00790335" w:rsidP="00133C49">
            <w:pPr>
              <w:pStyle w:val="ListParagraph"/>
              <w:numPr>
                <w:ilvl w:val="0"/>
                <w:numId w:val="4"/>
              </w:numPr>
              <w:tabs>
                <w:tab w:val="left" w:pos="9379"/>
              </w:tabs>
              <w:rPr>
                <w:rFonts w:ascii="Arial" w:hAnsi="Arial" w:cs="Arial"/>
              </w:rPr>
            </w:pPr>
            <w:r w:rsidRPr="00133C49">
              <w:rPr>
                <w:rFonts w:ascii="Arial" w:hAnsi="Arial" w:cs="Arial"/>
              </w:rPr>
              <w:t>Ensure equity of opportunity for promotion and career progression for BME colleagues</w:t>
            </w:r>
            <w:r w:rsidR="008932E0">
              <w:rPr>
                <w:rFonts w:ascii="Arial" w:hAnsi="Arial" w:cs="Arial"/>
              </w:rPr>
              <w:t xml:space="preserve"> into senior roles</w:t>
            </w:r>
          </w:p>
        </w:tc>
        <w:tc>
          <w:tcPr>
            <w:tcW w:w="4113" w:type="dxa"/>
          </w:tcPr>
          <w:p w14:paraId="4D53AF25" w14:textId="77777777" w:rsidR="00790335" w:rsidRDefault="00790335" w:rsidP="00241B41">
            <w:pPr>
              <w:rPr>
                <w:rFonts w:ascii="Arial" w:hAnsi="Arial" w:cs="Arial"/>
                <w:bCs/>
              </w:rPr>
            </w:pPr>
            <w:r>
              <w:rPr>
                <w:rFonts w:ascii="Arial" w:hAnsi="Arial" w:cs="Arial"/>
                <w:bCs/>
              </w:rPr>
              <w:t>Implementation of a Talent Management Plan (part of the national EDI Improvement Plan)</w:t>
            </w:r>
          </w:p>
          <w:p w14:paraId="1E7309D1" w14:textId="77777777" w:rsidR="00790335" w:rsidRPr="00764F9B" w:rsidRDefault="00790335" w:rsidP="00241B41">
            <w:pPr>
              <w:tabs>
                <w:tab w:val="left" w:pos="9379"/>
              </w:tabs>
              <w:rPr>
                <w:rFonts w:ascii="Arial" w:hAnsi="Arial" w:cs="Arial"/>
              </w:rPr>
            </w:pPr>
          </w:p>
        </w:tc>
        <w:tc>
          <w:tcPr>
            <w:tcW w:w="2308" w:type="dxa"/>
          </w:tcPr>
          <w:p w14:paraId="3E4C5591" w14:textId="77777777" w:rsidR="00790335" w:rsidRDefault="00790335" w:rsidP="00241B41">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117B6FD3" w14:textId="77777777" w:rsidR="00790335" w:rsidRPr="00764F9B" w:rsidRDefault="00790335" w:rsidP="00241B41">
            <w:pPr>
              <w:tabs>
                <w:tab w:val="left" w:pos="9379"/>
              </w:tabs>
              <w:rPr>
                <w:rFonts w:ascii="Arial" w:hAnsi="Arial" w:cs="Arial"/>
              </w:rPr>
            </w:pPr>
            <w:r>
              <w:rPr>
                <w:rFonts w:ascii="Arial" w:hAnsi="Arial" w:cs="Arial"/>
              </w:rPr>
              <w:t>People Development Team</w:t>
            </w:r>
          </w:p>
        </w:tc>
        <w:tc>
          <w:tcPr>
            <w:tcW w:w="1654" w:type="dxa"/>
          </w:tcPr>
          <w:p w14:paraId="477DA474" w14:textId="45F4A957" w:rsidR="00790335" w:rsidRPr="00764F9B" w:rsidRDefault="00790335" w:rsidP="00241B41">
            <w:pPr>
              <w:tabs>
                <w:tab w:val="left" w:pos="9379"/>
              </w:tabs>
              <w:rPr>
                <w:rFonts w:ascii="Arial" w:hAnsi="Arial" w:cs="Arial"/>
              </w:rPr>
            </w:pPr>
            <w:r>
              <w:rPr>
                <w:rFonts w:ascii="Arial" w:hAnsi="Arial" w:cs="Arial"/>
              </w:rPr>
              <w:t>Indicator 7 to increase to above 55%.</w:t>
            </w:r>
          </w:p>
        </w:tc>
        <w:tc>
          <w:tcPr>
            <w:tcW w:w="3792" w:type="dxa"/>
          </w:tcPr>
          <w:p w14:paraId="3A1AD5D3" w14:textId="77777777" w:rsidR="00790335" w:rsidRPr="00764F9B" w:rsidRDefault="00790335" w:rsidP="00241B41">
            <w:pPr>
              <w:tabs>
                <w:tab w:val="left" w:pos="9379"/>
              </w:tabs>
              <w:rPr>
                <w:rFonts w:ascii="Arial" w:hAnsi="Arial" w:cs="Arial"/>
              </w:rPr>
            </w:pPr>
            <w:r>
              <w:rPr>
                <w:rFonts w:ascii="Arial" w:hAnsi="Arial" w:cs="Arial"/>
              </w:rPr>
              <w:t>Due to be implemented during 24/25.</w:t>
            </w:r>
          </w:p>
        </w:tc>
      </w:tr>
    </w:tbl>
    <w:p w14:paraId="7B6B9006" w14:textId="77777777" w:rsidR="00790335" w:rsidRDefault="00790335" w:rsidP="00FC17A2">
      <w:pPr>
        <w:ind w:left="284"/>
        <w:rPr>
          <w:rFonts w:ascii="Arial" w:hAnsi="Arial" w:cs="Arial"/>
          <w:b/>
          <w:bCs/>
        </w:rPr>
      </w:pPr>
    </w:p>
    <w:p w14:paraId="018630D5" w14:textId="604BE27F" w:rsidR="00967779" w:rsidRDefault="00967779" w:rsidP="00FC17A2">
      <w:pPr>
        <w:ind w:left="284"/>
        <w:rPr>
          <w:rFonts w:ascii="Arial" w:hAnsi="Arial" w:cs="Arial"/>
          <w:bCs/>
        </w:rPr>
      </w:pPr>
      <w:bookmarkStart w:id="3" w:name="_Hlk146037825"/>
      <w:r w:rsidRPr="007806D6">
        <w:rPr>
          <w:rFonts w:ascii="Arial" w:hAnsi="Arial" w:cs="Arial"/>
          <w:bCs/>
        </w:rPr>
        <w:t>In addition to the above actions</w:t>
      </w:r>
      <w:r w:rsidR="00F46331">
        <w:rPr>
          <w:rFonts w:ascii="Arial" w:hAnsi="Arial" w:cs="Arial"/>
          <w:bCs/>
        </w:rPr>
        <w:t xml:space="preserve"> specific to our WRES results</w:t>
      </w:r>
      <w:r w:rsidRPr="007806D6">
        <w:rPr>
          <w:rFonts w:ascii="Arial" w:hAnsi="Arial" w:cs="Arial"/>
          <w:bCs/>
        </w:rPr>
        <w:t xml:space="preserve">, </w:t>
      </w:r>
      <w:r>
        <w:rPr>
          <w:rFonts w:ascii="Arial" w:hAnsi="Arial" w:cs="Arial"/>
          <w:bCs/>
        </w:rPr>
        <w:t>the new NHS England EDI Improvement Plan contains 6 High Impact Actions and WRES data will be monitored to review success against some of the actions contained within the plan</w:t>
      </w:r>
      <w:r w:rsidR="00F46331">
        <w:rPr>
          <w:rFonts w:ascii="Arial" w:hAnsi="Arial" w:cs="Arial"/>
          <w:bCs/>
        </w:rPr>
        <w:t xml:space="preserve"> over the next 3-years</w:t>
      </w:r>
      <w:r>
        <w:rPr>
          <w:rFonts w:ascii="Arial" w:hAnsi="Arial" w:cs="Arial"/>
          <w:bCs/>
        </w:rPr>
        <w:t>.</w:t>
      </w:r>
      <w:bookmarkEnd w:id="3"/>
    </w:p>
    <w:p w14:paraId="5A3D04F7" w14:textId="71F467F8" w:rsidR="001B7FB7" w:rsidRDefault="001B7FB7" w:rsidP="00FC17A2">
      <w:pPr>
        <w:ind w:left="284"/>
        <w:rPr>
          <w:rFonts w:ascii="Arial" w:hAnsi="Arial" w:cs="Arial"/>
          <w:bCs/>
        </w:rPr>
      </w:pPr>
    </w:p>
    <w:p w14:paraId="4845990B" w14:textId="11015D4C" w:rsidR="001B7FB7" w:rsidRDefault="001B7FB7" w:rsidP="00FC17A2">
      <w:pPr>
        <w:ind w:left="284"/>
        <w:rPr>
          <w:rFonts w:ascii="Arial" w:hAnsi="Arial" w:cs="Arial"/>
          <w:bCs/>
        </w:rPr>
      </w:pPr>
    </w:p>
    <w:p w14:paraId="7C64F6C9" w14:textId="485C767A" w:rsidR="00133C49" w:rsidRDefault="00133C49" w:rsidP="00FC17A2">
      <w:pPr>
        <w:ind w:left="284"/>
        <w:rPr>
          <w:rFonts w:ascii="Arial" w:hAnsi="Arial" w:cs="Arial"/>
          <w:bCs/>
        </w:rPr>
      </w:pPr>
    </w:p>
    <w:p w14:paraId="1E3A1118" w14:textId="34AE9957" w:rsidR="00133C49" w:rsidRDefault="00133C49" w:rsidP="00FC17A2">
      <w:pPr>
        <w:ind w:left="284"/>
        <w:rPr>
          <w:rFonts w:ascii="Arial" w:hAnsi="Arial" w:cs="Arial"/>
          <w:bCs/>
        </w:rPr>
      </w:pPr>
    </w:p>
    <w:p w14:paraId="293D6D5B" w14:textId="77777777" w:rsidR="00133C49" w:rsidRDefault="00133C49" w:rsidP="00FC17A2">
      <w:pPr>
        <w:ind w:left="284"/>
        <w:rPr>
          <w:rFonts w:ascii="Arial" w:hAnsi="Arial" w:cs="Arial"/>
          <w:bCs/>
        </w:rPr>
      </w:pPr>
    </w:p>
    <w:p w14:paraId="5D276FF3" w14:textId="0604B382" w:rsidR="001B7FB7" w:rsidRDefault="001B7FB7" w:rsidP="00FC17A2">
      <w:pPr>
        <w:ind w:left="284"/>
        <w:rPr>
          <w:rFonts w:ascii="Arial" w:hAnsi="Arial" w:cs="Arial"/>
          <w:bCs/>
        </w:rPr>
      </w:pPr>
      <w:r>
        <w:rPr>
          <w:rFonts w:ascii="Arial" w:hAnsi="Arial" w:cs="Arial"/>
          <w:bCs/>
        </w:rPr>
        <w:t>Appendix 1: Model Employer</w:t>
      </w:r>
    </w:p>
    <w:p w14:paraId="7C05663D" w14:textId="77777777" w:rsidR="001B7FB7" w:rsidRDefault="001B7FB7" w:rsidP="001B7FB7">
      <w:pPr>
        <w:ind w:left="284"/>
        <w:rPr>
          <w:rFonts w:ascii="Arial" w:hAnsi="Arial" w:cs="Arial"/>
        </w:rPr>
      </w:pPr>
      <w:r>
        <w:rPr>
          <w:rFonts w:ascii="Arial" w:hAnsi="Arial" w:cs="Arial"/>
          <w:b/>
          <w:bCs/>
        </w:rPr>
        <w:t>Model Employer</w:t>
      </w:r>
    </w:p>
    <w:tbl>
      <w:tblPr>
        <w:tblW w:w="12320" w:type="dxa"/>
        <w:tblInd w:w="279" w:type="dxa"/>
        <w:tblLook w:val="04A0" w:firstRow="1" w:lastRow="0" w:firstColumn="1" w:lastColumn="0" w:noHBand="0" w:noVBand="1"/>
      </w:tblPr>
      <w:tblGrid>
        <w:gridCol w:w="1760"/>
        <w:gridCol w:w="960"/>
        <w:gridCol w:w="960"/>
        <w:gridCol w:w="960"/>
        <w:gridCol w:w="960"/>
        <w:gridCol w:w="960"/>
        <w:gridCol w:w="960"/>
        <w:gridCol w:w="960"/>
        <w:gridCol w:w="960"/>
        <w:gridCol w:w="960"/>
        <w:gridCol w:w="960"/>
        <w:gridCol w:w="960"/>
      </w:tblGrid>
      <w:tr w:rsidR="001B7FB7" w:rsidRPr="007036B1" w14:paraId="32EEE130" w14:textId="77777777" w:rsidTr="00241B41">
        <w:trPr>
          <w:trHeight w:val="290"/>
        </w:trPr>
        <w:tc>
          <w:tcPr>
            <w:tcW w:w="123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7630385B" w14:textId="77777777" w:rsidR="001B7FB7" w:rsidRPr="007036B1" w:rsidRDefault="001B7FB7" w:rsidP="00241B41">
            <w:pPr>
              <w:spacing w:after="0" w:line="240" w:lineRule="auto"/>
              <w:rPr>
                <w:rFonts w:ascii="Arial" w:eastAsia="Times New Roman" w:hAnsi="Arial" w:cs="Arial"/>
                <w:color w:val="000000"/>
                <w:lang w:eastAsia="en-GB"/>
              </w:rPr>
            </w:pPr>
            <w:r w:rsidRPr="007036B1">
              <w:rPr>
                <w:rFonts w:ascii="Arial" w:eastAsia="Times New Roman" w:hAnsi="Arial" w:cs="Arial"/>
                <w:color w:val="000000"/>
                <w:lang w:eastAsia="en-GB"/>
              </w:rPr>
              <w:t>Table 1: Aspirational Goals from Model Employer (current year in bold)</w:t>
            </w:r>
          </w:p>
        </w:tc>
      </w:tr>
      <w:tr w:rsidR="001B7FB7" w:rsidRPr="007036B1" w14:paraId="4409C9AC" w14:textId="77777777" w:rsidTr="00241B41">
        <w:trPr>
          <w:trHeight w:val="290"/>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41B818" w14:textId="77777777" w:rsidR="001B7FB7" w:rsidRPr="00D915DD" w:rsidRDefault="001B7FB7" w:rsidP="00241B41">
            <w:pPr>
              <w:spacing w:after="0" w:line="240" w:lineRule="auto"/>
              <w:rPr>
                <w:rFonts w:ascii="Arial" w:eastAsia="Times New Roman" w:hAnsi="Arial" w:cs="Arial"/>
                <w:color w:val="000000"/>
                <w:lang w:eastAsia="en-GB"/>
              </w:rPr>
            </w:pP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2140396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2018</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37E6DF3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2019</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2F0EF13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2020</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6B47A9F5"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2021</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37500EF2"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2022</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155A25F8"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2023</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3E6F5C95"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2024</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513F908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2025</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0E986110"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2026</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06D06A5F"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2027</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048D83E6"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2028</w:t>
            </w:r>
          </w:p>
        </w:tc>
      </w:tr>
      <w:tr w:rsidR="001B7FB7" w:rsidRPr="00D915DD" w14:paraId="56A66203" w14:textId="77777777" w:rsidTr="00241B41">
        <w:trPr>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68AB163"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8a </w:t>
            </w:r>
          </w:p>
        </w:tc>
        <w:tc>
          <w:tcPr>
            <w:tcW w:w="960" w:type="dxa"/>
            <w:tcBorders>
              <w:top w:val="nil"/>
              <w:left w:val="nil"/>
              <w:bottom w:val="single" w:sz="4" w:space="0" w:color="auto"/>
              <w:right w:val="single" w:sz="4" w:space="0" w:color="auto"/>
            </w:tcBorders>
            <w:shd w:val="clear" w:color="auto" w:fill="auto"/>
            <w:noWrap/>
            <w:vAlign w:val="bottom"/>
            <w:hideMark/>
          </w:tcPr>
          <w:p w14:paraId="51C3FE0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66F43A70"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272BEDE"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47111EDE"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76DA0AC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25DC7638"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15B01AF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0080AD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6F93C286"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129A7D4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BC4C42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11</w:t>
            </w:r>
          </w:p>
        </w:tc>
      </w:tr>
      <w:tr w:rsidR="001B7FB7" w:rsidRPr="00D915DD" w14:paraId="2B5A07CA" w14:textId="77777777" w:rsidTr="00241B41">
        <w:trPr>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80AF65D"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Band 8b</w:t>
            </w:r>
          </w:p>
        </w:tc>
        <w:tc>
          <w:tcPr>
            <w:tcW w:w="960" w:type="dxa"/>
            <w:tcBorders>
              <w:top w:val="nil"/>
              <w:left w:val="nil"/>
              <w:bottom w:val="single" w:sz="4" w:space="0" w:color="auto"/>
              <w:right w:val="single" w:sz="4" w:space="0" w:color="auto"/>
            </w:tcBorders>
            <w:shd w:val="clear" w:color="auto" w:fill="auto"/>
            <w:noWrap/>
            <w:vAlign w:val="bottom"/>
            <w:hideMark/>
          </w:tcPr>
          <w:p w14:paraId="679A2F7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11CC938"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8603804"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4E51E704"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37185E1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3CDD954E"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1BB5B71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253DBA75"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4C26F0D2"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CF18BB9"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2989ED1C"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4</w:t>
            </w:r>
          </w:p>
        </w:tc>
      </w:tr>
      <w:tr w:rsidR="001B7FB7" w:rsidRPr="00D915DD" w14:paraId="0ECD49E7" w14:textId="77777777" w:rsidTr="00241B41">
        <w:trPr>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7E9A833"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8c </w:t>
            </w:r>
          </w:p>
        </w:tc>
        <w:tc>
          <w:tcPr>
            <w:tcW w:w="960" w:type="dxa"/>
            <w:tcBorders>
              <w:top w:val="nil"/>
              <w:left w:val="nil"/>
              <w:bottom w:val="single" w:sz="4" w:space="0" w:color="auto"/>
              <w:right w:val="single" w:sz="4" w:space="0" w:color="auto"/>
            </w:tcBorders>
            <w:shd w:val="clear" w:color="auto" w:fill="auto"/>
            <w:noWrap/>
            <w:vAlign w:val="bottom"/>
            <w:hideMark/>
          </w:tcPr>
          <w:p w14:paraId="19E681E0"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B111D95"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AA8A13E"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23E7F45"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2A5594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C5FB3A4"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E7B7E28"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2A3ADBB"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C4CB9A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67BD40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782C50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r>
      <w:tr w:rsidR="001B7FB7" w:rsidRPr="00D915DD" w14:paraId="46852A8A" w14:textId="77777777" w:rsidTr="00241B41">
        <w:trPr>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498EAC5"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8d </w:t>
            </w:r>
          </w:p>
        </w:tc>
        <w:tc>
          <w:tcPr>
            <w:tcW w:w="960" w:type="dxa"/>
            <w:tcBorders>
              <w:top w:val="nil"/>
              <w:left w:val="nil"/>
              <w:bottom w:val="single" w:sz="4" w:space="0" w:color="auto"/>
              <w:right w:val="single" w:sz="4" w:space="0" w:color="auto"/>
            </w:tcBorders>
            <w:shd w:val="clear" w:color="auto" w:fill="auto"/>
            <w:noWrap/>
            <w:vAlign w:val="bottom"/>
            <w:hideMark/>
          </w:tcPr>
          <w:p w14:paraId="29738F30"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148F596"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7024A7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DEFA24E"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D32538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EBBC0BA"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3DD997B"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755CB8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16E4E65"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FC22353"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65D20E8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w:t>
            </w:r>
          </w:p>
        </w:tc>
      </w:tr>
      <w:tr w:rsidR="001B7FB7" w:rsidRPr="00D915DD" w14:paraId="135579A1" w14:textId="77777777" w:rsidTr="00241B41">
        <w:trPr>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DBDB883"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9 </w:t>
            </w:r>
          </w:p>
        </w:tc>
        <w:tc>
          <w:tcPr>
            <w:tcW w:w="960" w:type="dxa"/>
            <w:tcBorders>
              <w:top w:val="nil"/>
              <w:left w:val="nil"/>
              <w:bottom w:val="single" w:sz="4" w:space="0" w:color="auto"/>
              <w:right w:val="single" w:sz="4" w:space="0" w:color="auto"/>
            </w:tcBorders>
            <w:shd w:val="clear" w:color="auto" w:fill="auto"/>
            <w:noWrap/>
            <w:vAlign w:val="bottom"/>
            <w:hideMark/>
          </w:tcPr>
          <w:p w14:paraId="725C6542"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DA595E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475962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E0EA6C5"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320A16B"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5DD5526"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7184D0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A4FBE3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0401D92"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6BB0D42"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0F85EB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r>
      <w:tr w:rsidR="001B7FB7" w:rsidRPr="00D915DD" w14:paraId="532D2766" w14:textId="77777777" w:rsidTr="00241B41">
        <w:trPr>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127DA59"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VSM </w:t>
            </w:r>
          </w:p>
        </w:tc>
        <w:tc>
          <w:tcPr>
            <w:tcW w:w="960" w:type="dxa"/>
            <w:tcBorders>
              <w:top w:val="nil"/>
              <w:left w:val="nil"/>
              <w:bottom w:val="single" w:sz="4" w:space="0" w:color="auto"/>
              <w:right w:val="single" w:sz="4" w:space="0" w:color="auto"/>
            </w:tcBorders>
            <w:shd w:val="clear" w:color="auto" w:fill="auto"/>
            <w:noWrap/>
            <w:vAlign w:val="bottom"/>
            <w:hideMark/>
          </w:tcPr>
          <w:p w14:paraId="00F05F6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088A872"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5B2CF78"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7CDFA76"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40E4428"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2596A5A"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B51E4E6"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FC71C1B"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348DF56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50C2FBB"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F90056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r>
      <w:tr w:rsidR="001B7FB7" w:rsidRPr="007036B1" w14:paraId="60168BD3" w14:textId="77777777" w:rsidTr="00241B41">
        <w:trPr>
          <w:gridAfter w:val="5"/>
          <w:wAfter w:w="4800" w:type="dxa"/>
          <w:trHeight w:val="290"/>
        </w:trPr>
        <w:tc>
          <w:tcPr>
            <w:tcW w:w="75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064D5730" w14:textId="77777777" w:rsidR="001B7FB7" w:rsidRPr="007036B1" w:rsidRDefault="001B7FB7" w:rsidP="00241B41">
            <w:pPr>
              <w:spacing w:after="0" w:line="240" w:lineRule="auto"/>
              <w:rPr>
                <w:rFonts w:ascii="Arial" w:eastAsia="Times New Roman" w:hAnsi="Arial" w:cs="Arial"/>
                <w:color w:val="000000"/>
                <w:lang w:eastAsia="en-GB"/>
              </w:rPr>
            </w:pPr>
            <w:r w:rsidRPr="007036B1">
              <w:rPr>
                <w:rFonts w:ascii="Arial" w:eastAsia="Times New Roman" w:hAnsi="Arial" w:cs="Arial"/>
                <w:color w:val="000000"/>
                <w:lang w:eastAsia="en-GB"/>
              </w:rPr>
              <w:t>Table 2: Actual headcount in each year of the Model Employer</w:t>
            </w:r>
          </w:p>
        </w:tc>
      </w:tr>
      <w:tr w:rsidR="001B7FB7" w:rsidRPr="00D915DD" w14:paraId="482B6071" w14:textId="77777777" w:rsidTr="00241B41">
        <w:trPr>
          <w:gridAfter w:val="5"/>
          <w:wAfter w:w="4800" w:type="dxa"/>
          <w:trHeight w:val="290"/>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BFF111E" w14:textId="77777777" w:rsidR="001B7FB7" w:rsidRPr="00D915DD" w:rsidRDefault="001B7FB7" w:rsidP="00241B41">
            <w:pPr>
              <w:spacing w:after="0" w:line="240" w:lineRule="auto"/>
              <w:rPr>
                <w:rFonts w:ascii="Arial" w:eastAsia="Times New Roman" w:hAnsi="Arial" w:cs="Arial"/>
                <w:color w:val="000000"/>
                <w:lang w:eastAsia="en-GB"/>
              </w:rPr>
            </w:pP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6340823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2018</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3CD05B69"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2019</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204FA669"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2020</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2AAFC6C3"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2021</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3468FEA8"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2022</w:t>
            </w:r>
          </w:p>
        </w:tc>
        <w:tc>
          <w:tcPr>
            <w:tcW w:w="960" w:type="dxa"/>
            <w:tcBorders>
              <w:top w:val="single" w:sz="4" w:space="0" w:color="auto"/>
              <w:left w:val="nil"/>
              <w:bottom w:val="single" w:sz="4" w:space="0" w:color="auto"/>
              <w:right w:val="single" w:sz="4" w:space="0" w:color="auto"/>
            </w:tcBorders>
            <w:shd w:val="clear" w:color="000000" w:fill="B4C6E7"/>
            <w:noWrap/>
            <w:vAlign w:val="bottom"/>
            <w:hideMark/>
          </w:tcPr>
          <w:p w14:paraId="3AFE4860"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2023</w:t>
            </w:r>
          </w:p>
        </w:tc>
      </w:tr>
      <w:tr w:rsidR="001B7FB7" w:rsidRPr="00D915DD" w14:paraId="4D766752" w14:textId="77777777" w:rsidTr="00241B41">
        <w:trPr>
          <w:gridAfter w:val="5"/>
          <w:wAfter w:w="4800" w:type="dxa"/>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31FB986"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8a </w:t>
            </w:r>
          </w:p>
        </w:tc>
        <w:tc>
          <w:tcPr>
            <w:tcW w:w="960" w:type="dxa"/>
            <w:tcBorders>
              <w:top w:val="nil"/>
              <w:left w:val="nil"/>
              <w:bottom w:val="single" w:sz="4" w:space="0" w:color="auto"/>
              <w:right w:val="single" w:sz="4" w:space="0" w:color="auto"/>
            </w:tcBorders>
            <w:shd w:val="clear" w:color="auto" w:fill="auto"/>
            <w:noWrap/>
            <w:vAlign w:val="bottom"/>
            <w:hideMark/>
          </w:tcPr>
          <w:p w14:paraId="331D27C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008C4F9F"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1D73512"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581BB0C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3958D0D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9</w:t>
            </w:r>
          </w:p>
        </w:tc>
        <w:tc>
          <w:tcPr>
            <w:tcW w:w="960" w:type="dxa"/>
            <w:tcBorders>
              <w:top w:val="nil"/>
              <w:left w:val="nil"/>
              <w:bottom w:val="single" w:sz="4" w:space="0" w:color="auto"/>
              <w:right w:val="single" w:sz="4" w:space="0" w:color="auto"/>
            </w:tcBorders>
            <w:shd w:val="clear" w:color="auto" w:fill="92D050"/>
            <w:noWrap/>
            <w:vAlign w:val="bottom"/>
            <w:hideMark/>
          </w:tcPr>
          <w:p w14:paraId="1F4FA4EA"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12</w:t>
            </w:r>
          </w:p>
        </w:tc>
      </w:tr>
      <w:tr w:rsidR="001B7FB7" w:rsidRPr="00D915DD" w14:paraId="1F16C662" w14:textId="77777777" w:rsidTr="00241B41">
        <w:trPr>
          <w:gridAfter w:val="5"/>
          <w:wAfter w:w="4800" w:type="dxa"/>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266851D"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8b </w:t>
            </w:r>
          </w:p>
        </w:tc>
        <w:tc>
          <w:tcPr>
            <w:tcW w:w="960" w:type="dxa"/>
            <w:tcBorders>
              <w:top w:val="nil"/>
              <w:left w:val="nil"/>
              <w:bottom w:val="single" w:sz="4" w:space="0" w:color="auto"/>
              <w:right w:val="single" w:sz="4" w:space="0" w:color="auto"/>
            </w:tcBorders>
            <w:shd w:val="clear" w:color="auto" w:fill="auto"/>
            <w:noWrap/>
            <w:vAlign w:val="bottom"/>
            <w:hideMark/>
          </w:tcPr>
          <w:p w14:paraId="420D7896"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19D7DE2C"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097302FF"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C46AF4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5EBF0AF0"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6</w:t>
            </w:r>
          </w:p>
        </w:tc>
        <w:tc>
          <w:tcPr>
            <w:tcW w:w="960" w:type="dxa"/>
            <w:tcBorders>
              <w:top w:val="nil"/>
              <w:left w:val="nil"/>
              <w:bottom w:val="single" w:sz="4" w:space="0" w:color="auto"/>
              <w:right w:val="single" w:sz="4" w:space="0" w:color="auto"/>
            </w:tcBorders>
            <w:shd w:val="clear" w:color="auto" w:fill="92D050"/>
            <w:noWrap/>
            <w:vAlign w:val="bottom"/>
            <w:hideMark/>
          </w:tcPr>
          <w:p w14:paraId="6213725A"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4</w:t>
            </w:r>
          </w:p>
        </w:tc>
      </w:tr>
      <w:tr w:rsidR="001B7FB7" w:rsidRPr="00D915DD" w14:paraId="2DFE258E" w14:textId="77777777" w:rsidTr="00241B41">
        <w:trPr>
          <w:gridAfter w:val="5"/>
          <w:wAfter w:w="4800" w:type="dxa"/>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C54F5B"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8c </w:t>
            </w:r>
          </w:p>
        </w:tc>
        <w:tc>
          <w:tcPr>
            <w:tcW w:w="960" w:type="dxa"/>
            <w:tcBorders>
              <w:top w:val="nil"/>
              <w:left w:val="nil"/>
              <w:bottom w:val="single" w:sz="4" w:space="0" w:color="auto"/>
              <w:right w:val="single" w:sz="4" w:space="0" w:color="auto"/>
            </w:tcBorders>
            <w:shd w:val="clear" w:color="auto" w:fill="auto"/>
            <w:noWrap/>
            <w:vAlign w:val="bottom"/>
            <w:hideMark/>
          </w:tcPr>
          <w:p w14:paraId="778220E9"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635761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C003C7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01CF249"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41878574"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92D050"/>
            <w:noWrap/>
            <w:vAlign w:val="bottom"/>
            <w:hideMark/>
          </w:tcPr>
          <w:p w14:paraId="0717900E"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1</w:t>
            </w:r>
          </w:p>
        </w:tc>
      </w:tr>
      <w:tr w:rsidR="001B7FB7" w:rsidRPr="00D915DD" w14:paraId="0C92D29A" w14:textId="77777777" w:rsidTr="00241B41">
        <w:trPr>
          <w:gridAfter w:val="5"/>
          <w:wAfter w:w="4800" w:type="dxa"/>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9F38278"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8d </w:t>
            </w:r>
          </w:p>
        </w:tc>
        <w:tc>
          <w:tcPr>
            <w:tcW w:w="960" w:type="dxa"/>
            <w:tcBorders>
              <w:top w:val="nil"/>
              <w:left w:val="nil"/>
              <w:bottom w:val="single" w:sz="4" w:space="0" w:color="auto"/>
              <w:right w:val="single" w:sz="4" w:space="0" w:color="auto"/>
            </w:tcBorders>
            <w:shd w:val="clear" w:color="auto" w:fill="auto"/>
            <w:noWrap/>
            <w:vAlign w:val="bottom"/>
            <w:hideMark/>
          </w:tcPr>
          <w:p w14:paraId="5DE0ECD0"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8E9E2BF"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FAC848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8658316"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962E4D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FFC000"/>
            <w:noWrap/>
            <w:vAlign w:val="bottom"/>
            <w:hideMark/>
          </w:tcPr>
          <w:p w14:paraId="11F20412"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0</w:t>
            </w:r>
          </w:p>
        </w:tc>
      </w:tr>
      <w:tr w:rsidR="001B7FB7" w:rsidRPr="00D915DD" w14:paraId="2A9CE8C5" w14:textId="77777777" w:rsidTr="00241B41">
        <w:trPr>
          <w:gridAfter w:val="5"/>
          <w:wAfter w:w="4800" w:type="dxa"/>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7A609ED"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Band 9 </w:t>
            </w:r>
          </w:p>
        </w:tc>
        <w:tc>
          <w:tcPr>
            <w:tcW w:w="960" w:type="dxa"/>
            <w:tcBorders>
              <w:top w:val="nil"/>
              <w:left w:val="nil"/>
              <w:bottom w:val="single" w:sz="4" w:space="0" w:color="auto"/>
              <w:right w:val="single" w:sz="4" w:space="0" w:color="auto"/>
            </w:tcBorders>
            <w:shd w:val="clear" w:color="auto" w:fill="auto"/>
            <w:noWrap/>
            <w:vAlign w:val="bottom"/>
            <w:hideMark/>
          </w:tcPr>
          <w:p w14:paraId="37D7BAD7"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A2799C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C425E2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923AEC0"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8F3E3C1"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92D050"/>
            <w:noWrap/>
            <w:vAlign w:val="bottom"/>
            <w:hideMark/>
          </w:tcPr>
          <w:p w14:paraId="5F751B15"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0</w:t>
            </w:r>
          </w:p>
        </w:tc>
      </w:tr>
      <w:tr w:rsidR="001B7FB7" w:rsidRPr="00D915DD" w14:paraId="468D9156" w14:textId="77777777" w:rsidTr="00241B41">
        <w:trPr>
          <w:gridAfter w:val="5"/>
          <w:wAfter w:w="4800" w:type="dxa"/>
          <w:trHeight w:val="29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09A95DF" w14:textId="77777777" w:rsidR="001B7FB7" w:rsidRPr="00D915DD" w:rsidRDefault="001B7FB7" w:rsidP="00241B41">
            <w:pPr>
              <w:spacing w:after="0" w:line="240" w:lineRule="auto"/>
              <w:rPr>
                <w:rFonts w:ascii="Arial" w:eastAsia="Times New Roman" w:hAnsi="Arial" w:cs="Arial"/>
                <w:color w:val="000000"/>
                <w:lang w:eastAsia="en-GB"/>
              </w:rPr>
            </w:pPr>
            <w:r w:rsidRPr="00D915DD">
              <w:rPr>
                <w:rFonts w:ascii="Arial" w:eastAsia="Times New Roman" w:hAnsi="Arial" w:cs="Arial"/>
                <w:color w:val="000000"/>
                <w:lang w:eastAsia="en-GB"/>
              </w:rPr>
              <w:t xml:space="preserve">VSM </w:t>
            </w:r>
          </w:p>
        </w:tc>
        <w:tc>
          <w:tcPr>
            <w:tcW w:w="960" w:type="dxa"/>
            <w:tcBorders>
              <w:top w:val="nil"/>
              <w:left w:val="nil"/>
              <w:bottom w:val="single" w:sz="4" w:space="0" w:color="auto"/>
              <w:right w:val="single" w:sz="4" w:space="0" w:color="auto"/>
            </w:tcBorders>
            <w:shd w:val="clear" w:color="auto" w:fill="auto"/>
            <w:noWrap/>
            <w:vAlign w:val="bottom"/>
            <w:hideMark/>
          </w:tcPr>
          <w:p w14:paraId="257470B8"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F14FB1D"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2F2712F"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9ECF66A"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62B5E7EB" w14:textId="77777777" w:rsidR="001B7FB7" w:rsidRPr="00D915DD" w:rsidRDefault="001B7FB7" w:rsidP="00241B41">
            <w:pPr>
              <w:spacing w:after="0" w:line="240" w:lineRule="auto"/>
              <w:jc w:val="center"/>
              <w:rPr>
                <w:rFonts w:ascii="Arial" w:eastAsia="Times New Roman" w:hAnsi="Arial" w:cs="Arial"/>
                <w:color w:val="000000"/>
                <w:lang w:eastAsia="en-GB"/>
              </w:rPr>
            </w:pPr>
            <w:r w:rsidRPr="00D915DD">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FF0000"/>
            <w:noWrap/>
            <w:vAlign w:val="bottom"/>
            <w:hideMark/>
          </w:tcPr>
          <w:p w14:paraId="778F110A" w14:textId="77777777" w:rsidR="001B7FB7" w:rsidRPr="00D915DD" w:rsidRDefault="001B7FB7" w:rsidP="00241B41">
            <w:pPr>
              <w:spacing w:after="0" w:line="240" w:lineRule="auto"/>
              <w:jc w:val="center"/>
              <w:rPr>
                <w:rFonts w:ascii="Arial" w:eastAsia="Times New Roman" w:hAnsi="Arial" w:cs="Arial"/>
                <w:b/>
                <w:bCs/>
                <w:color w:val="000000"/>
                <w:lang w:eastAsia="en-GB"/>
              </w:rPr>
            </w:pPr>
            <w:r w:rsidRPr="00D915DD">
              <w:rPr>
                <w:rFonts w:ascii="Arial" w:eastAsia="Times New Roman" w:hAnsi="Arial" w:cs="Arial"/>
                <w:b/>
                <w:bCs/>
                <w:color w:val="000000"/>
                <w:lang w:eastAsia="en-GB"/>
              </w:rPr>
              <w:t>0</w:t>
            </w:r>
          </w:p>
        </w:tc>
      </w:tr>
    </w:tbl>
    <w:p w14:paraId="400D6EE0" w14:textId="77777777" w:rsidR="001B7FB7" w:rsidRDefault="001B7FB7" w:rsidP="001B7FB7">
      <w:pPr>
        <w:ind w:left="284"/>
        <w:rPr>
          <w:rFonts w:ascii="Arial" w:hAnsi="Arial" w:cs="Arial"/>
        </w:rPr>
      </w:pPr>
    </w:p>
    <w:p w14:paraId="5E637106" w14:textId="77777777" w:rsidR="001B7FB7" w:rsidRDefault="001B7FB7" w:rsidP="001B7FB7">
      <w:pPr>
        <w:ind w:left="284"/>
        <w:rPr>
          <w:rFonts w:ascii="Arial" w:hAnsi="Arial" w:cs="Arial"/>
        </w:rPr>
      </w:pPr>
      <w:r>
        <w:rPr>
          <w:rFonts w:ascii="Arial" w:hAnsi="Arial" w:cs="Arial"/>
        </w:rPr>
        <w:lastRenderedPageBreak/>
        <w:t>The charts below show progress and trajectory towards model employer goals.</w:t>
      </w:r>
    </w:p>
    <w:tbl>
      <w:tblPr>
        <w:tblStyle w:val="TableGridLight"/>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320"/>
      </w:tblGrid>
      <w:tr w:rsidR="001B7FB7" w14:paraId="3E4C3475" w14:textId="77777777" w:rsidTr="00241B41">
        <w:tc>
          <w:tcPr>
            <w:tcW w:w="7847" w:type="dxa"/>
          </w:tcPr>
          <w:p w14:paraId="27F3D15E" w14:textId="77777777" w:rsidR="001B7FB7" w:rsidRDefault="001B7FB7" w:rsidP="00241B41">
            <w:pPr>
              <w:jc w:val="center"/>
              <w:rPr>
                <w:rFonts w:ascii="Arial" w:hAnsi="Arial" w:cs="Arial"/>
              </w:rPr>
            </w:pPr>
            <w:r>
              <w:rPr>
                <w:noProof/>
              </w:rPr>
              <w:drawing>
                <wp:inline distT="0" distB="0" distL="0" distR="0" wp14:anchorId="41A7BBB1" wp14:editId="5AD84B3E">
                  <wp:extent cx="3292475" cy="1874838"/>
                  <wp:effectExtent l="0" t="0" r="3175" b="11430"/>
                  <wp:docPr id="1" name="Chart 1">
                    <a:extLst xmlns:a="http://schemas.openxmlformats.org/drawingml/2006/main">
                      <a:ext uri="{FF2B5EF4-FFF2-40B4-BE49-F238E27FC236}">
                        <a16:creationId xmlns:a16="http://schemas.microsoft.com/office/drawing/2014/main" id="{D855891A-4EB8-4595-8C89-94378E2D5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7320" w:type="dxa"/>
          </w:tcPr>
          <w:p w14:paraId="4FB3C2FD" w14:textId="77777777" w:rsidR="001B7FB7" w:rsidRDefault="001B7FB7" w:rsidP="00241B41">
            <w:pPr>
              <w:jc w:val="center"/>
              <w:rPr>
                <w:rFonts w:ascii="Arial" w:hAnsi="Arial" w:cs="Arial"/>
              </w:rPr>
            </w:pPr>
            <w:r>
              <w:rPr>
                <w:noProof/>
              </w:rPr>
              <w:drawing>
                <wp:inline distT="0" distB="0" distL="0" distR="0" wp14:anchorId="36CB707A" wp14:editId="35A6C1D3">
                  <wp:extent cx="3292475" cy="1874838"/>
                  <wp:effectExtent l="0" t="0" r="3175" b="11430"/>
                  <wp:docPr id="7" name="Chart 7">
                    <a:extLst xmlns:a="http://schemas.openxmlformats.org/drawingml/2006/main">
                      <a:ext uri="{FF2B5EF4-FFF2-40B4-BE49-F238E27FC236}">
                        <a16:creationId xmlns:a16="http://schemas.microsoft.com/office/drawing/2014/main" id="{D41AC873-95AB-41CA-B0CD-BEF1E5018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B7FB7" w14:paraId="6A319734" w14:textId="77777777" w:rsidTr="00241B41">
        <w:tc>
          <w:tcPr>
            <w:tcW w:w="7847" w:type="dxa"/>
          </w:tcPr>
          <w:p w14:paraId="0C855076" w14:textId="77777777" w:rsidR="001B7FB7" w:rsidRDefault="001B7FB7" w:rsidP="00241B41">
            <w:pPr>
              <w:jc w:val="center"/>
              <w:rPr>
                <w:rFonts w:ascii="Arial" w:hAnsi="Arial" w:cs="Arial"/>
              </w:rPr>
            </w:pPr>
            <w:r>
              <w:rPr>
                <w:noProof/>
              </w:rPr>
              <w:drawing>
                <wp:inline distT="0" distB="0" distL="0" distR="0" wp14:anchorId="59669CC2" wp14:editId="5098A7E6">
                  <wp:extent cx="3292475" cy="1874838"/>
                  <wp:effectExtent l="0" t="0" r="3175" b="11430"/>
                  <wp:docPr id="10" name="Chart 10">
                    <a:extLst xmlns:a="http://schemas.openxmlformats.org/drawingml/2006/main">
                      <a:ext uri="{FF2B5EF4-FFF2-40B4-BE49-F238E27FC236}">
                        <a16:creationId xmlns:a16="http://schemas.microsoft.com/office/drawing/2014/main" id="{52AB67BD-C34A-438E-BD14-794B87D56A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7320" w:type="dxa"/>
          </w:tcPr>
          <w:p w14:paraId="716C7E2E" w14:textId="77777777" w:rsidR="001B7FB7" w:rsidRDefault="001B7FB7" w:rsidP="00241B41">
            <w:pPr>
              <w:jc w:val="center"/>
              <w:rPr>
                <w:rFonts w:ascii="Arial" w:hAnsi="Arial" w:cs="Arial"/>
              </w:rPr>
            </w:pPr>
            <w:r>
              <w:rPr>
                <w:noProof/>
              </w:rPr>
              <w:drawing>
                <wp:inline distT="0" distB="0" distL="0" distR="0" wp14:anchorId="0B6E1234" wp14:editId="18BCFABB">
                  <wp:extent cx="3292475" cy="1874838"/>
                  <wp:effectExtent l="0" t="0" r="3175" b="11430"/>
                  <wp:docPr id="14" name="Chart 14">
                    <a:extLst xmlns:a="http://schemas.openxmlformats.org/drawingml/2006/main">
                      <a:ext uri="{FF2B5EF4-FFF2-40B4-BE49-F238E27FC236}">
                        <a16:creationId xmlns:a16="http://schemas.microsoft.com/office/drawing/2014/main" id="{D1201C76-C8CD-42BB-9F94-02517A2CF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B7FB7" w14:paraId="2A23FCD8" w14:textId="77777777" w:rsidTr="00241B41">
        <w:tc>
          <w:tcPr>
            <w:tcW w:w="7847" w:type="dxa"/>
          </w:tcPr>
          <w:p w14:paraId="0B82A6B2" w14:textId="77777777" w:rsidR="001B7FB7" w:rsidRDefault="001B7FB7" w:rsidP="00241B41">
            <w:pPr>
              <w:jc w:val="center"/>
              <w:rPr>
                <w:rFonts w:ascii="Arial" w:hAnsi="Arial" w:cs="Arial"/>
              </w:rPr>
            </w:pPr>
            <w:r>
              <w:rPr>
                <w:noProof/>
              </w:rPr>
              <w:drawing>
                <wp:inline distT="0" distB="0" distL="0" distR="0" wp14:anchorId="24EBA75C" wp14:editId="7F803C93">
                  <wp:extent cx="3292475" cy="1874838"/>
                  <wp:effectExtent l="0" t="0" r="3175" b="11430"/>
                  <wp:docPr id="15" name="Chart 15">
                    <a:extLst xmlns:a="http://schemas.openxmlformats.org/drawingml/2006/main">
                      <a:ext uri="{FF2B5EF4-FFF2-40B4-BE49-F238E27FC236}">
                        <a16:creationId xmlns:a16="http://schemas.microsoft.com/office/drawing/2014/main" id="{A85F8066-9088-4CA6-880E-7945577D7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7320" w:type="dxa"/>
          </w:tcPr>
          <w:p w14:paraId="2E41B75B" w14:textId="77777777" w:rsidR="001B7FB7" w:rsidRDefault="001B7FB7" w:rsidP="00241B41">
            <w:pPr>
              <w:jc w:val="center"/>
              <w:rPr>
                <w:rFonts w:ascii="Arial" w:hAnsi="Arial" w:cs="Arial"/>
              </w:rPr>
            </w:pPr>
          </w:p>
        </w:tc>
      </w:tr>
    </w:tbl>
    <w:p w14:paraId="7D673912" w14:textId="77777777" w:rsidR="001B7FB7" w:rsidRPr="00967779" w:rsidRDefault="001B7FB7" w:rsidP="00FC17A2">
      <w:pPr>
        <w:ind w:left="284"/>
        <w:rPr>
          <w:rFonts w:ascii="Arial" w:hAnsi="Arial" w:cs="Arial"/>
          <w:b/>
          <w:bCs/>
        </w:rPr>
      </w:pPr>
    </w:p>
    <w:sectPr w:rsidR="001B7FB7" w:rsidRPr="00967779" w:rsidSect="00202300">
      <w:footerReference w:type="default" r:id="rId1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E9B9" w14:textId="77777777" w:rsidR="00F13EEF" w:rsidRDefault="00F13EEF" w:rsidP="00135800">
      <w:pPr>
        <w:spacing w:after="0" w:line="240" w:lineRule="auto"/>
      </w:pPr>
      <w:r>
        <w:separator/>
      </w:r>
    </w:p>
  </w:endnote>
  <w:endnote w:type="continuationSeparator" w:id="0">
    <w:p w14:paraId="59103E91" w14:textId="77777777" w:rsidR="00F13EEF" w:rsidRDefault="00F13EEF" w:rsidP="0013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5960"/>
      <w:docPartObj>
        <w:docPartGallery w:val="Page Numbers (Bottom of Page)"/>
        <w:docPartUnique/>
      </w:docPartObj>
    </w:sdtPr>
    <w:sdtEndPr>
      <w:rPr>
        <w:noProof/>
      </w:rPr>
    </w:sdtEndPr>
    <w:sdtContent>
      <w:p w14:paraId="4458D7B6" w14:textId="0DB14D40" w:rsidR="00202300" w:rsidRDefault="002023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A65F1" w14:textId="0F3D7908" w:rsidR="008E0E91" w:rsidRDefault="008E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D785" w14:textId="77777777" w:rsidR="00F13EEF" w:rsidRDefault="00F13EEF" w:rsidP="00135800">
      <w:pPr>
        <w:spacing w:after="0" w:line="240" w:lineRule="auto"/>
      </w:pPr>
      <w:r>
        <w:separator/>
      </w:r>
    </w:p>
  </w:footnote>
  <w:footnote w:type="continuationSeparator" w:id="0">
    <w:p w14:paraId="5D6A1CAB" w14:textId="77777777" w:rsidR="00F13EEF" w:rsidRDefault="00F13EEF" w:rsidP="00135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39D"/>
    <w:multiLevelType w:val="hybridMultilevel"/>
    <w:tmpl w:val="888AB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6708FC"/>
    <w:multiLevelType w:val="hybridMultilevel"/>
    <w:tmpl w:val="3CF2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665A7"/>
    <w:multiLevelType w:val="hybridMultilevel"/>
    <w:tmpl w:val="FC363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A83D08"/>
    <w:multiLevelType w:val="hybridMultilevel"/>
    <w:tmpl w:val="E21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3133983">
    <w:abstractNumId w:val="3"/>
  </w:num>
  <w:num w:numId="2" w16cid:durableId="1344629253">
    <w:abstractNumId w:val="0"/>
  </w:num>
  <w:num w:numId="3" w16cid:durableId="1733501222">
    <w:abstractNumId w:val="1"/>
  </w:num>
  <w:num w:numId="4" w16cid:durableId="902449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26"/>
    <w:rsid w:val="000031BD"/>
    <w:rsid w:val="000620DA"/>
    <w:rsid w:val="000667D0"/>
    <w:rsid w:val="00067500"/>
    <w:rsid w:val="00081637"/>
    <w:rsid w:val="0008459E"/>
    <w:rsid w:val="00087AF9"/>
    <w:rsid w:val="00091F1C"/>
    <w:rsid w:val="00094CF6"/>
    <w:rsid w:val="000B3F63"/>
    <w:rsid w:val="000C4183"/>
    <w:rsid w:val="000C46BD"/>
    <w:rsid w:val="000E72E0"/>
    <w:rsid w:val="001026DE"/>
    <w:rsid w:val="0010319D"/>
    <w:rsid w:val="00133C49"/>
    <w:rsid w:val="00135800"/>
    <w:rsid w:val="00136220"/>
    <w:rsid w:val="00137CAA"/>
    <w:rsid w:val="00144068"/>
    <w:rsid w:val="00145374"/>
    <w:rsid w:val="00150E8A"/>
    <w:rsid w:val="00165A3B"/>
    <w:rsid w:val="0017436E"/>
    <w:rsid w:val="001760E0"/>
    <w:rsid w:val="00186749"/>
    <w:rsid w:val="00187795"/>
    <w:rsid w:val="00191FF1"/>
    <w:rsid w:val="001A5B42"/>
    <w:rsid w:val="001A7B70"/>
    <w:rsid w:val="001B747D"/>
    <w:rsid w:val="001B77F5"/>
    <w:rsid w:val="001B7FB7"/>
    <w:rsid w:val="001C1B95"/>
    <w:rsid w:val="001C3075"/>
    <w:rsid w:val="001C5699"/>
    <w:rsid w:val="001F11C5"/>
    <w:rsid w:val="001F48CE"/>
    <w:rsid w:val="001F6255"/>
    <w:rsid w:val="00202300"/>
    <w:rsid w:val="0022050B"/>
    <w:rsid w:val="0022584A"/>
    <w:rsid w:val="0023574F"/>
    <w:rsid w:val="00236322"/>
    <w:rsid w:val="002679D1"/>
    <w:rsid w:val="002A2B12"/>
    <w:rsid w:val="002A6D8B"/>
    <w:rsid w:val="002B0E20"/>
    <w:rsid w:val="002C598F"/>
    <w:rsid w:val="002D4FBA"/>
    <w:rsid w:val="00304C75"/>
    <w:rsid w:val="00310D81"/>
    <w:rsid w:val="00311168"/>
    <w:rsid w:val="00312F8F"/>
    <w:rsid w:val="00337EC4"/>
    <w:rsid w:val="00354335"/>
    <w:rsid w:val="00365F29"/>
    <w:rsid w:val="00374618"/>
    <w:rsid w:val="0038046D"/>
    <w:rsid w:val="00382C71"/>
    <w:rsid w:val="003B1D06"/>
    <w:rsid w:val="003B3873"/>
    <w:rsid w:val="003B5A06"/>
    <w:rsid w:val="003C0FFF"/>
    <w:rsid w:val="003C3CCA"/>
    <w:rsid w:val="003E7321"/>
    <w:rsid w:val="004104B8"/>
    <w:rsid w:val="0042720A"/>
    <w:rsid w:val="0044134C"/>
    <w:rsid w:val="00481703"/>
    <w:rsid w:val="00486D03"/>
    <w:rsid w:val="0049794B"/>
    <w:rsid w:val="004D1A60"/>
    <w:rsid w:val="004D47CE"/>
    <w:rsid w:val="005107F3"/>
    <w:rsid w:val="00513B25"/>
    <w:rsid w:val="00530A7B"/>
    <w:rsid w:val="005355E7"/>
    <w:rsid w:val="005630A5"/>
    <w:rsid w:val="005908F6"/>
    <w:rsid w:val="00591477"/>
    <w:rsid w:val="005973FC"/>
    <w:rsid w:val="005A131E"/>
    <w:rsid w:val="005A4160"/>
    <w:rsid w:val="005D42CB"/>
    <w:rsid w:val="005F2A01"/>
    <w:rsid w:val="00603E0C"/>
    <w:rsid w:val="00634DE6"/>
    <w:rsid w:val="00643CF8"/>
    <w:rsid w:val="006671A3"/>
    <w:rsid w:val="00670B63"/>
    <w:rsid w:val="00672214"/>
    <w:rsid w:val="006810D3"/>
    <w:rsid w:val="006913F3"/>
    <w:rsid w:val="006B0ECA"/>
    <w:rsid w:val="006D58EF"/>
    <w:rsid w:val="006F1203"/>
    <w:rsid w:val="00702FF0"/>
    <w:rsid w:val="007036B1"/>
    <w:rsid w:val="007310CD"/>
    <w:rsid w:val="007424A4"/>
    <w:rsid w:val="0074452B"/>
    <w:rsid w:val="00747BBA"/>
    <w:rsid w:val="00747D35"/>
    <w:rsid w:val="00751D3F"/>
    <w:rsid w:val="007610C5"/>
    <w:rsid w:val="00776E7B"/>
    <w:rsid w:val="00785D3D"/>
    <w:rsid w:val="007901B0"/>
    <w:rsid w:val="00790335"/>
    <w:rsid w:val="0079069C"/>
    <w:rsid w:val="00791551"/>
    <w:rsid w:val="007A1E5E"/>
    <w:rsid w:val="007B0E0A"/>
    <w:rsid w:val="007B1312"/>
    <w:rsid w:val="007B1FAA"/>
    <w:rsid w:val="007B5A34"/>
    <w:rsid w:val="007C0CFD"/>
    <w:rsid w:val="007D0EB3"/>
    <w:rsid w:val="007D6235"/>
    <w:rsid w:val="007E62BA"/>
    <w:rsid w:val="007F06C6"/>
    <w:rsid w:val="007F0944"/>
    <w:rsid w:val="00827324"/>
    <w:rsid w:val="0083629F"/>
    <w:rsid w:val="008710BF"/>
    <w:rsid w:val="00880DC5"/>
    <w:rsid w:val="00886AA4"/>
    <w:rsid w:val="00891E82"/>
    <w:rsid w:val="00892BC7"/>
    <w:rsid w:val="008932E0"/>
    <w:rsid w:val="008A20EA"/>
    <w:rsid w:val="008B1848"/>
    <w:rsid w:val="008D75C9"/>
    <w:rsid w:val="008E0E91"/>
    <w:rsid w:val="008E3BD4"/>
    <w:rsid w:val="00902434"/>
    <w:rsid w:val="00911308"/>
    <w:rsid w:val="00912645"/>
    <w:rsid w:val="00930163"/>
    <w:rsid w:val="00933C7E"/>
    <w:rsid w:val="00940C73"/>
    <w:rsid w:val="00944A81"/>
    <w:rsid w:val="0095570F"/>
    <w:rsid w:val="00967779"/>
    <w:rsid w:val="009755D7"/>
    <w:rsid w:val="00985D1A"/>
    <w:rsid w:val="00986589"/>
    <w:rsid w:val="009D02BD"/>
    <w:rsid w:val="009D2C1C"/>
    <w:rsid w:val="009D3524"/>
    <w:rsid w:val="009E35EC"/>
    <w:rsid w:val="009F4D93"/>
    <w:rsid w:val="00A055C7"/>
    <w:rsid w:val="00A0772B"/>
    <w:rsid w:val="00A17572"/>
    <w:rsid w:val="00A40CC7"/>
    <w:rsid w:val="00A46B2C"/>
    <w:rsid w:val="00A51A18"/>
    <w:rsid w:val="00A57133"/>
    <w:rsid w:val="00A62D96"/>
    <w:rsid w:val="00A67727"/>
    <w:rsid w:val="00A7053F"/>
    <w:rsid w:val="00A82074"/>
    <w:rsid w:val="00A91077"/>
    <w:rsid w:val="00AB1965"/>
    <w:rsid w:val="00AB1A63"/>
    <w:rsid w:val="00AB2013"/>
    <w:rsid w:val="00AB2DF5"/>
    <w:rsid w:val="00AB353A"/>
    <w:rsid w:val="00AC1010"/>
    <w:rsid w:val="00AD0E02"/>
    <w:rsid w:val="00AE1C90"/>
    <w:rsid w:val="00AF362D"/>
    <w:rsid w:val="00AF6F16"/>
    <w:rsid w:val="00B1180E"/>
    <w:rsid w:val="00B457B6"/>
    <w:rsid w:val="00B47E78"/>
    <w:rsid w:val="00B528B1"/>
    <w:rsid w:val="00B74B5B"/>
    <w:rsid w:val="00B94EFE"/>
    <w:rsid w:val="00BC2E52"/>
    <w:rsid w:val="00BC3DF5"/>
    <w:rsid w:val="00BC4DE5"/>
    <w:rsid w:val="00BD74F6"/>
    <w:rsid w:val="00C10C79"/>
    <w:rsid w:val="00C16CE8"/>
    <w:rsid w:val="00C31E54"/>
    <w:rsid w:val="00C32F55"/>
    <w:rsid w:val="00C33DA4"/>
    <w:rsid w:val="00C60713"/>
    <w:rsid w:val="00C60C77"/>
    <w:rsid w:val="00C709F6"/>
    <w:rsid w:val="00C72C26"/>
    <w:rsid w:val="00C90565"/>
    <w:rsid w:val="00CB0905"/>
    <w:rsid w:val="00CB2600"/>
    <w:rsid w:val="00CD6CCB"/>
    <w:rsid w:val="00CE0D0C"/>
    <w:rsid w:val="00CE49D6"/>
    <w:rsid w:val="00CE5911"/>
    <w:rsid w:val="00CF4121"/>
    <w:rsid w:val="00CF4F49"/>
    <w:rsid w:val="00D07479"/>
    <w:rsid w:val="00D2194D"/>
    <w:rsid w:val="00D51DF7"/>
    <w:rsid w:val="00D552BE"/>
    <w:rsid w:val="00D57DA4"/>
    <w:rsid w:val="00D65635"/>
    <w:rsid w:val="00D67D5C"/>
    <w:rsid w:val="00D75F70"/>
    <w:rsid w:val="00D81D6F"/>
    <w:rsid w:val="00D870D0"/>
    <w:rsid w:val="00D90457"/>
    <w:rsid w:val="00D915DD"/>
    <w:rsid w:val="00DA0BEF"/>
    <w:rsid w:val="00DA27E3"/>
    <w:rsid w:val="00DB2B6A"/>
    <w:rsid w:val="00DB5F93"/>
    <w:rsid w:val="00DD250B"/>
    <w:rsid w:val="00DD45BE"/>
    <w:rsid w:val="00DE0EC3"/>
    <w:rsid w:val="00DE7391"/>
    <w:rsid w:val="00DF40C1"/>
    <w:rsid w:val="00E00DD0"/>
    <w:rsid w:val="00E02A30"/>
    <w:rsid w:val="00E03FE5"/>
    <w:rsid w:val="00E0448C"/>
    <w:rsid w:val="00E10817"/>
    <w:rsid w:val="00E277B2"/>
    <w:rsid w:val="00E31CA4"/>
    <w:rsid w:val="00E32B4B"/>
    <w:rsid w:val="00E72FA9"/>
    <w:rsid w:val="00E847C1"/>
    <w:rsid w:val="00E9764D"/>
    <w:rsid w:val="00EB3FAE"/>
    <w:rsid w:val="00EC59FF"/>
    <w:rsid w:val="00EF11D7"/>
    <w:rsid w:val="00EF2860"/>
    <w:rsid w:val="00EF5945"/>
    <w:rsid w:val="00F0275C"/>
    <w:rsid w:val="00F07CC5"/>
    <w:rsid w:val="00F1337A"/>
    <w:rsid w:val="00F13E5C"/>
    <w:rsid w:val="00F13EEF"/>
    <w:rsid w:val="00F1547E"/>
    <w:rsid w:val="00F23922"/>
    <w:rsid w:val="00F422C3"/>
    <w:rsid w:val="00F46331"/>
    <w:rsid w:val="00F47CB1"/>
    <w:rsid w:val="00F56AC3"/>
    <w:rsid w:val="00F56C3D"/>
    <w:rsid w:val="00F75CB3"/>
    <w:rsid w:val="00F76017"/>
    <w:rsid w:val="00F8011B"/>
    <w:rsid w:val="00F82F1F"/>
    <w:rsid w:val="00F91066"/>
    <w:rsid w:val="00FA3196"/>
    <w:rsid w:val="00FB175F"/>
    <w:rsid w:val="00FB5799"/>
    <w:rsid w:val="00FC17A2"/>
    <w:rsid w:val="00FE57A8"/>
    <w:rsid w:val="00FF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3531CA"/>
  <w15:docId w15:val="{2731B3C6-8CD0-4A89-983B-060ABA23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C26"/>
    <w:pPr>
      <w:ind w:left="720"/>
      <w:contextualSpacing/>
    </w:pPr>
  </w:style>
  <w:style w:type="paragraph" w:customStyle="1" w:styleId="Pa0">
    <w:name w:val="Pa0"/>
    <w:basedOn w:val="Normal"/>
    <w:next w:val="Normal"/>
    <w:uiPriority w:val="99"/>
    <w:rsid w:val="00C72C26"/>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C72C26"/>
    <w:rPr>
      <w:rFonts w:cs="Frutiger LT Pro 45 Light"/>
      <w:color w:val="000000"/>
      <w:sz w:val="18"/>
      <w:szCs w:val="18"/>
    </w:rPr>
  </w:style>
  <w:style w:type="paragraph" w:styleId="BalloonText">
    <w:name w:val="Balloon Text"/>
    <w:basedOn w:val="Normal"/>
    <w:link w:val="BalloonTextChar"/>
    <w:uiPriority w:val="99"/>
    <w:semiHidden/>
    <w:unhideWhenUsed/>
    <w:rsid w:val="00D7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70"/>
    <w:rPr>
      <w:rFonts w:ascii="Tahoma" w:hAnsi="Tahoma" w:cs="Tahoma"/>
      <w:sz w:val="16"/>
      <w:szCs w:val="16"/>
    </w:rPr>
  </w:style>
  <w:style w:type="paragraph" w:styleId="Header">
    <w:name w:val="header"/>
    <w:basedOn w:val="Normal"/>
    <w:link w:val="HeaderChar"/>
    <w:uiPriority w:val="99"/>
    <w:unhideWhenUsed/>
    <w:rsid w:val="00135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800"/>
  </w:style>
  <w:style w:type="paragraph" w:styleId="Footer">
    <w:name w:val="footer"/>
    <w:basedOn w:val="Normal"/>
    <w:link w:val="FooterChar"/>
    <w:uiPriority w:val="99"/>
    <w:unhideWhenUsed/>
    <w:rsid w:val="00135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800"/>
  </w:style>
  <w:style w:type="paragraph" w:styleId="EndnoteText">
    <w:name w:val="endnote text"/>
    <w:basedOn w:val="Normal"/>
    <w:link w:val="EndnoteTextChar"/>
    <w:uiPriority w:val="99"/>
    <w:semiHidden/>
    <w:unhideWhenUsed/>
    <w:rsid w:val="00D219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94D"/>
    <w:rPr>
      <w:sz w:val="20"/>
      <w:szCs w:val="20"/>
    </w:rPr>
  </w:style>
  <w:style w:type="character" w:styleId="EndnoteReference">
    <w:name w:val="endnote reference"/>
    <w:basedOn w:val="DefaultParagraphFont"/>
    <w:uiPriority w:val="99"/>
    <w:semiHidden/>
    <w:unhideWhenUsed/>
    <w:rsid w:val="00D2194D"/>
    <w:rPr>
      <w:vertAlign w:val="superscript"/>
    </w:rPr>
  </w:style>
  <w:style w:type="paragraph" w:styleId="FootnoteText">
    <w:name w:val="footnote text"/>
    <w:basedOn w:val="Normal"/>
    <w:link w:val="FootnoteTextChar"/>
    <w:uiPriority w:val="99"/>
    <w:semiHidden/>
    <w:unhideWhenUsed/>
    <w:rsid w:val="00D219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94D"/>
    <w:rPr>
      <w:sz w:val="20"/>
      <w:szCs w:val="20"/>
    </w:rPr>
  </w:style>
  <w:style w:type="character" w:styleId="FootnoteReference">
    <w:name w:val="footnote reference"/>
    <w:basedOn w:val="DefaultParagraphFont"/>
    <w:uiPriority w:val="99"/>
    <w:semiHidden/>
    <w:unhideWhenUsed/>
    <w:rsid w:val="00D2194D"/>
    <w:rPr>
      <w:vertAlign w:val="superscript"/>
    </w:rPr>
  </w:style>
  <w:style w:type="table" w:styleId="TableGridLight">
    <w:name w:val="Grid Table Light"/>
    <w:basedOn w:val="TableNormal"/>
    <w:uiPriority w:val="40"/>
    <w:rsid w:val="009677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757549">
      <w:bodyDiv w:val="1"/>
      <w:marLeft w:val="0"/>
      <w:marRight w:val="0"/>
      <w:marTop w:val="0"/>
      <w:marBottom w:val="0"/>
      <w:divBdr>
        <w:top w:val="none" w:sz="0" w:space="0" w:color="auto"/>
        <w:left w:val="none" w:sz="0" w:space="0" w:color="auto"/>
        <w:bottom w:val="none" w:sz="0" w:space="0" w:color="auto"/>
        <w:right w:val="none" w:sz="0" w:space="0" w:color="auto"/>
      </w:divBdr>
    </w:div>
    <w:div w:id="1161431600">
      <w:bodyDiv w:val="1"/>
      <w:marLeft w:val="0"/>
      <w:marRight w:val="0"/>
      <w:marTop w:val="0"/>
      <w:marBottom w:val="0"/>
      <w:divBdr>
        <w:top w:val="none" w:sz="0" w:space="0" w:color="auto"/>
        <w:left w:val="none" w:sz="0" w:space="0" w:color="auto"/>
        <w:bottom w:val="none" w:sz="0" w:space="0" w:color="auto"/>
        <w:right w:val="none" w:sz="0" w:space="0" w:color="auto"/>
      </w:divBdr>
    </w:div>
    <w:div w:id="1406024893">
      <w:bodyDiv w:val="1"/>
      <w:marLeft w:val="0"/>
      <w:marRight w:val="0"/>
      <w:marTop w:val="0"/>
      <w:marBottom w:val="0"/>
      <w:divBdr>
        <w:top w:val="none" w:sz="0" w:space="0" w:color="auto"/>
        <w:left w:val="none" w:sz="0" w:space="0" w:color="auto"/>
        <w:bottom w:val="none" w:sz="0" w:space="0" w:color="auto"/>
        <w:right w:val="none" w:sz="0" w:space="0" w:color="auto"/>
      </w:divBdr>
    </w:div>
    <w:div w:id="1590580205">
      <w:bodyDiv w:val="1"/>
      <w:marLeft w:val="0"/>
      <w:marRight w:val="0"/>
      <w:marTop w:val="0"/>
      <w:marBottom w:val="0"/>
      <w:divBdr>
        <w:top w:val="none" w:sz="0" w:space="0" w:color="auto"/>
        <w:left w:val="none" w:sz="0" w:space="0" w:color="auto"/>
        <w:bottom w:val="none" w:sz="0" w:space="0" w:color="auto"/>
        <w:right w:val="none" w:sz="0" w:space="0" w:color="auto"/>
      </w:divBdr>
    </w:div>
    <w:div w:id="1817528663">
      <w:bodyDiv w:val="1"/>
      <w:marLeft w:val="0"/>
      <w:marRight w:val="0"/>
      <w:marTop w:val="0"/>
      <w:marBottom w:val="0"/>
      <w:divBdr>
        <w:top w:val="none" w:sz="0" w:space="0" w:color="auto"/>
        <w:left w:val="none" w:sz="0" w:space="0" w:color="auto"/>
        <w:bottom w:val="none" w:sz="0" w:space="0" w:color="auto"/>
        <w:right w:val="none" w:sz="0" w:space="0" w:color="auto"/>
      </w:divBdr>
    </w:div>
    <w:div w:id="19962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earAli2\AppData\Local\Microsoft\Windows\INetCache\Content.Outlook\LLAU5K2N\Model%20Standard%20Aug%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earAli2\AppData\Local\Microsoft\Windows\INetCache\Content.Outlook\LLAU5K2N\Model%20Standard%20Aug%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earAli2\AppData\Local\Microsoft\Windows\INetCache\Content.Outlook\LLAU5K2N\Model%20Standard%20Aug%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earAli2\AppData\Local\Microsoft\Windows\INetCache\Content.Outlook\LLAU5K2N\Model%20Standard%20Aug%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earAli2\AppData\Local\Microsoft\Windows\INetCache\Content.Outlook\LLAU5K2N\Model%20Standard%20Aug%20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Band</a:t>
            </a:r>
            <a:r>
              <a:rPr lang="en-GB" baseline="0"/>
              <a:t> 8a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'Model Standard'!$A$5</c:f>
              <c:strCache>
                <c:ptCount val="1"/>
                <c:pt idx="0">
                  <c:v>Band 8a - Planned</c:v>
                </c:pt>
              </c:strCache>
            </c:strRef>
          </c:tx>
          <c:spPr>
            <a:ln w="28575" cap="rnd">
              <a:solidFill>
                <a:schemeClr val="accent1"/>
              </a:solidFill>
              <a:prstDash val="dash"/>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Standard'!$B$5:$L$5</c:f>
              <c:numCache>
                <c:formatCode>General</c:formatCode>
                <c:ptCount val="11"/>
                <c:pt idx="0">
                  <c:v>4</c:v>
                </c:pt>
                <c:pt idx="1">
                  <c:v>5</c:v>
                </c:pt>
                <c:pt idx="2">
                  <c:v>5</c:v>
                </c:pt>
                <c:pt idx="3">
                  <c:v>6</c:v>
                </c:pt>
                <c:pt idx="4">
                  <c:v>7</c:v>
                </c:pt>
                <c:pt idx="5">
                  <c:v>7</c:v>
                </c:pt>
                <c:pt idx="6">
                  <c:v>8</c:v>
                </c:pt>
                <c:pt idx="7">
                  <c:v>9</c:v>
                </c:pt>
                <c:pt idx="8">
                  <c:v>9</c:v>
                </c:pt>
                <c:pt idx="9">
                  <c:v>10</c:v>
                </c:pt>
                <c:pt idx="10">
                  <c:v>11</c:v>
                </c:pt>
              </c:numCache>
            </c:numRef>
          </c:val>
          <c:smooth val="0"/>
          <c:extLst>
            <c:ext xmlns:c16="http://schemas.microsoft.com/office/drawing/2014/chart" uri="{C3380CC4-5D6E-409C-BE32-E72D297353CC}">
              <c16:uniqueId val="{00000000-85BC-4BE4-A5A8-58A1C2917753}"/>
            </c:ext>
          </c:extLst>
        </c:ser>
        <c:ser>
          <c:idx val="2"/>
          <c:order val="1"/>
          <c:tx>
            <c:strRef>
              <c:f>'Model Standard'!$A$14</c:f>
              <c:strCache>
                <c:ptCount val="1"/>
                <c:pt idx="0">
                  <c:v>Band 8a - Actual</c:v>
                </c:pt>
              </c:strCache>
            </c:strRef>
          </c:tx>
          <c:spPr>
            <a:ln w="28575" cap="rnd">
              <a:solidFill>
                <a:schemeClr val="accent3"/>
              </a:solidFill>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Standard'!$B$14:$L$14</c:f>
              <c:numCache>
                <c:formatCode>General</c:formatCode>
                <c:ptCount val="11"/>
                <c:pt idx="0">
                  <c:v>5</c:v>
                </c:pt>
                <c:pt idx="1">
                  <c:v>8</c:v>
                </c:pt>
                <c:pt idx="2">
                  <c:v>10</c:v>
                </c:pt>
                <c:pt idx="3">
                  <c:v>8</c:v>
                </c:pt>
                <c:pt idx="4">
                  <c:v>9</c:v>
                </c:pt>
                <c:pt idx="5">
                  <c:v>12</c:v>
                </c:pt>
              </c:numCache>
            </c:numRef>
          </c:val>
          <c:smooth val="0"/>
          <c:extLst>
            <c:ext xmlns:c16="http://schemas.microsoft.com/office/drawing/2014/chart" uri="{C3380CC4-5D6E-409C-BE32-E72D297353CC}">
              <c16:uniqueId val="{00000001-85BC-4BE4-A5A8-58A1C2917753}"/>
            </c:ext>
          </c:extLst>
        </c:ser>
        <c:dLbls>
          <c:showLegendKey val="0"/>
          <c:showVal val="0"/>
          <c:showCatName val="0"/>
          <c:showSerName val="0"/>
          <c:showPercent val="0"/>
          <c:showBubbleSize val="0"/>
        </c:dLbls>
        <c:smooth val="0"/>
        <c:axId val="864474976"/>
        <c:axId val="231936960"/>
      </c:lineChart>
      <c:catAx>
        <c:axId val="86447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936960"/>
        <c:crosses val="autoZero"/>
        <c:auto val="1"/>
        <c:lblAlgn val="ctr"/>
        <c:lblOffset val="100"/>
        <c:noMultiLvlLbl val="0"/>
      </c:catAx>
      <c:valAx>
        <c:axId val="23193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7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Band</a:t>
            </a:r>
            <a:r>
              <a:rPr lang="en-GB" baseline="0"/>
              <a:t> 8b</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'Model Standard'!$A$6</c:f>
              <c:strCache>
                <c:ptCount val="1"/>
                <c:pt idx="0">
                  <c:v>Band 8b - Planned</c:v>
                </c:pt>
              </c:strCache>
            </c:strRef>
          </c:tx>
          <c:spPr>
            <a:ln w="28575" cap="rnd">
              <a:solidFill>
                <a:schemeClr val="accent1"/>
              </a:solidFill>
              <a:prstDash val="dash"/>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Standard'!$B$6:$L$6</c:f>
              <c:numCache>
                <c:formatCode>General</c:formatCode>
                <c:ptCount val="11"/>
                <c:pt idx="0">
                  <c:v>2</c:v>
                </c:pt>
                <c:pt idx="1">
                  <c:v>2</c:v>
                </c:pt>
                <c:pt idx="2">
                  <c:v>2</c:v>
                </c:pt>
                <c:pt idx="3">
                  <c:v>3</c:v>
                </c:pt>
                <c:pt idx="4">
                  <c:v>3</c:v>
                </c:pt>
                <c:pt idx="5">
                  <c:v>3</c:v>
                </c:pt>
                <c:pt idx="6">
                  <c:v>3</c:v>
                </c:pt>
                <c:pt idx="7">
                  <c:v>3</c:v>
                </c:pt>
                <c:pt idx="8">
                  <c:v>3</c:v>
                </c:pt>
                <c:pt idx="9">
                  <c:v>4</c:v>
                </c:pt>
                <c:pt idx="10">
                  <c:v>4</c:v>
                </c:pt>
              </c:numCache>
            </c:numRef>
          </c:val>
          <c:smooth val="0"/>
          <c:extLst>
            <c:ext xmlns:c16="http://schemas.microsoft.com/office/drawing/2014/chart" uri="{C3380CC4-5D6E-409C-BE32-E72D297353CC}">
              <c16:uniqueId val="{00000000-8C13-45BB-B17D-761DB0BB293F}"/>
            </c:ext>
          </c:extLst>
        </c:ser>
        <c:ser>
          <c:idx val="1"/>
          <c:order val="1"/>
          <c:tx>
            <c:strRef>
              <c:f>'Model Standard'!$A$15</c:f>
              <c:strCache>
                <c:ptCount val="1"/>
                <c:pt idx="0">
                  <c:v>Band 8b - Actual</c:v>
                </c:pt>
              </c:strCache>
            </c:strRef>
          </c:tx>
          <c:spPr>
            <a:ln w="28575" cap="rnd">
              <a:solidFill>
                <a:schemeClr val="bg1">
                  <a:lumMod val="65000"/>
                </a:schemeClr>
              </a:solidFill>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Standard'!$B$15:$L$15</c:f>
              <c:numCache>
                <c:formatCode>General</c:formatCode>
                <c:ptCount val="11"/>
                <c:pt idx="0">
                  <c:v>2</c:v>
                </c:pt>
                <c:pt idx="1">
                  <c:v>3</c:v>
                </c:pt>
                <c:pt idx="2">
                  <c:v>4</c:v>
                </c:pt>
                <c:pt idx="3">
                  <c:v>5</c:v>
                </c:pt>
                <c:pt idx="4">
                  <c:v>6</c:v>
                </c:pt>
                <c:pt idx="5">
                  <c:v>4</c:v>
                </c:pt>
              </c:numCache>
            </c:numRef>
          </c:val>
          <c:smooth val="0"/>
          <c:extLst>
            <c:ext xmlns:c16="http://schemas.microsoft.com/office/drawing/2014/chart" uri="{C3380CC4-5D6E-409C-BE32-E72D297353CC}">
              <c16:uniqueId val="{00000001-8C13-45BB-B17D-761DB0BB293F}"/>
            </c:ext>
          </c:extLst>
        </c:ser>
        <c:dLbls>
          <c:showLegendKey val="0"/>
          <c:showVal val="0"/>
          <c:showCatName val="0"/>
          <c:showSerName val="0"/>
          <c:showPercent val="0"/>
          <c:showBubbleSize val="0"/>
        </c:dLbls>
        <c:smooth val="0"/>
        <c:axId val="864474976"/>
        <c:axId val="231936960"/>
      </c:lineChart>
      <c:catAx>
        <c:axId val="86447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936960"/>
        <c:crosses val="autoZero"/>
        <c:auto val="1"/>
        <c:lblAlgn val="ctr"/>
        <c:lblOffset val="100"/>
        <c:noMultiLvlLbl val="0"/>
      </c:catAx>
      <c:valAx>
        <c:axId val="23193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7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Band</a:t>
            </a:r>
            <a:r>
              <a:rPr lang="en-GB" baseline="0"/>
              <a:t> 8c</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'Model Standard'!$A$7</c:f>
              <c:strCache>
                <c:ptCount val="1"/>
                <c:pt idx="0">
                  <c:v>Band 8c - Planned</c:v>
                </c:pt>
              </c:strCache>
            </c:strRef>
          </c:tx>
          <c:spPr>
            <a:ln w="28575" cap="rnd">
              <a:solidFill>
                <a:schemeClr val="accent1"/>
              </a:solidFill>
              <a:prstDash val="sysDash"/>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Standard'!$B$7:$L$7</c:f>
              <c:numCache>
                <c:formatCode>General</c:formatCode>
                <c:ptCount val="11"/>
                <c:pt idx="0">
                  <c:v>0</c:v>
                </c:pt>
                <c:pt idx="1">
                  <c:v>0</c:v>
                </c:pt>
                <c:pt idx="2">
                  <c:v>0</c:v>
                </c:pt>
                <c:pt idx="3">
                  <c:v>0</c:v>
                </c:pt>
                <c:pt idx="4">
                  <c:v>1</c:v>
                </c:pt>
                <c:pt idx="5">
                  <c:v>1</c:v>
                </c:pt>
                <c:pt idx="6">
                  <c:v>1</c:v>
                </c:pt>
                <c:pt idx="7">
                  <c:v>1</c:v>
                </c:pt>
                <c:pt idx="8">
                  <c:v>1</c:v>
                </c:pt>
                <c:pt idx="9">
                  <c:v>1</c:v>
                </c:pt>
                <c:pt idx="10">
                  <c:v>1</c:v>
                </c:pt>
              </c:numCache>
            </c:numRef>
          </c:val>
          <c:smooth val="0"/>
          <c:extLst>
            <c:ext xmlns:c16="http://schemas.microsoft.com/office/drawing/2014/chart" uri="{C3380CC4-5D6E-409C-BE32-E72D297353CC}">
              <c16:uniqueId val="{00000000-BDAB-4C34-9409-0FAB380A5D1B}"/>
            </c:ext>
          </c:extLst>
        </c:ser>
        <c:ser>
          <c:idx val="1"/>
          <c:order val="1"/>
          <c:tx>
            <c:strRef>
              <c:f>'Model Standard'!$A$16</c:f>
              <c:strCache>
                <c:ptCount val="1"/>
                <c:pt idx="0">
                  <c:v>Band 8c - Actual</c:v>
                </c:pt>
              </c:strCache>
            </c:strRef>
          </c:tx>
          <c:spPr>
            <a:ln w="28575" cap="rnd">
              <a:solidFill>
                <a:schemeClr val="bg1">
                  <a:lumMod val="65000"/>
                </a:schemeClr>
              </a:solidFill>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Standard'!$B$16:$L$16</c:f>
              <c:numCache>
                <c:formatCode>General</c:formatCode>
                <c:ptCount val="11"/>
                <c:pt idx="0">
                  <c:v>0</c:v>
                </c:pt>
                <c:pt idx="1">
                  <c:v>0</c:v>
                </c:pt>
                <c:pt idx="2">
                  <c:v>0</c:v>
                </c:pt>
                <c:pt idx="3">
                  <c:v>0</c:v>
                </c:pt>
                <c:pt idx="4">
                  <c:v>1</c:v>
                </c:pt>
                <c:pt idx="5">
                  <c:v>1</c:v>
                </c:pt>
              </c:numCache>
            </c:numRef>
          </c:val>
          <c:smooth val="0"/>
          <c:extLst>
            <c:ext xmlns:c16="http://schemas.microsoft.com/office/drawing/2014/chart" uri="{C3380CC4-5D6E-409C-BE32-E72D297353CC}">
              <c16:uniqueId val="{00000001-BDAB-4C34-9409-0FAB380A5D1B}"/>
            </c:ext>
          </c:extLst>
        </c:ser>
        <c:dLbls>
          <c:showLegendKey val="0"/>
          <c:showVal val="0"/>
          <c:showCatName val="0"/>
          <c:showSerName val="0"/>
          <c:showPercent val="0"/>
          <c:showBubbleSize val="0"/>
        </c:dLbls>
        <c:smooth val="0"/>
        <c:axId val="864474976"/>
        <c:axId val="231936960"/>
      </c:lineChart>
      <c:catAx>
        <c:axId val="86447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936960"/>
        <c:crosses val="autoZero"/>
        <c:auto val="1"/>
        <c:lblAlgn val="ctr"/>
        <c:lblOffset val="100"/>
        <c:noMultiLvlLbl val="0"/>
      </c:catAx>
      <c:valAx>
        <c:axId val="23193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7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Band</a:t>
            </a:r>
            <a:r>
              <a:rPr lang="en-GB" baseline="0"/>
              <a:t> 8d</a:t>
            </a:r>
            <a:endParaRPr lang="en-GB"/>
          </a:p>
        </c:rich>
      </c:tx>
      <c:layout>
        <c:manualLayout>
          <c:xMode val="edge"/>
          <c:yMode val="edge"/>
          <c:x val="0.34185134283479751"/>
          <c:y val="4.831750196884309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'Model Standard'!$A$8</c:f>
              <c:strCache>
                <c:ptCount val="1"/>
                <c:pt idx="0">
                  <c:v>Band 8d - Planned</c:v>
                </c:pt>
              </c:strCache>
            </c:strRef>
          </c:tx>
          <c:spPr>
            <a:ln w="28575" cap="rnd">
              <a:solidFill>
                <a:schemeClr val="accent1"/>
              </a:solidFill>
              <a:prstDash val="dash"/>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Standard'!$B$8:$L$8</c:f>
              <c:numCache>
                <c:formatCode>General</c:formatCode>
                <c:ptCount val="11"/>
                <c:pt idx="0">
                  <c:v>0</c:v>
                </c:pt>
                <c:pt idx="1">
                  <c:v>0</c:v>
                </c:pt>
                <c:pt idx="2">
                  <c:v>0</c:v>
                </c:pt>
                <c:pt idx="3">
                  <c:v>1</c:v>
                </c:pt>
                <c:pt idx="4">
                  <c:v>1</c:v>
                </c:pt>
                <c:pt idx="5">
                  <c:v>1</c:v>
                </c:pt>
                <c:pt idx="6">
                  <c:v>1</c:v>
                </c:pt>
                <c:pt idx="7">
                  <c:v>1</c:v>
                </c:pt>
                <c:pt idx="8">
                  <c:v>1</c:v>
                </c:pt>
                <c:pt idx="9">
                  <c:v>2</c:v>
                </c:pt>
                <c:pt idx="10">
                  <c:v>2</c:v>
                </c:pt>
              </c:numCache>
            </c:numRef>
          </c:val>
          <c:smooth val="0"/>
          <c:extLst>
            <c:ext xmlns:c16="http://schemas.microsoft.com/office/drawing/2014/chart" uri="{C3380CC4-5D6E-409C-BE32-E72D297353CC}">
              <c16:uniqueId val="{00000000-12FA-41FF-BB35-124789786B29}"/>
            </c:ext>
          </c:extLst>
        </c:ser>
        <c:ser>
          <c:idx val="1"/>
          <c:order val="1"/>
          <c:tx>
            <c:strRef>
              <c:f>'Model Standard'!$A$17</c:f>
              <c:strCache>
                <c:ptCount val="1"/>
                <c:pt idx="0">
                  <c:v>Band 8d - Actual</c:v>
                </c:pt>
              </c:strCache>
            </c:strRef>
          </c:tx>
          <c:spPr>
            <a:ln w="28575" cap="rnd">
              <a:solidFill>
                <a:schemeClr val="bg1">
                  <a:lumMod val="65000"/>
                </a:schemeClr>
              </a:solidFill>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Standard'!$B$17:$L$17</c:f>
              <c:numCache>
                <c:formatCode>General</c:formatCode>
                <c:ptCount val="11"/>
                <c:pt idx="0">
                  <c:v>0</c:v>
                </c:pt>
                <c:pt idx="1">
                  <c:v>0</c:v>
                </c:pt>
                <c:pt idx="2">
                  <c:v>0</c:v>
                </c:pt>
                <c:pt idx="3">
                  <c:v>1</c:v>
                </c:pt>
                <c:pt idx="4">
                  <c:v>0</c:v>
                </c:pt>
                <c:pt idx="5">
                  <c:v>0</c:v>
                </c:pt>
              </c:numCache>
            </c:numRef>
          </c:val>
          <c:smooth val="0"/>
          <c:extLst>
            <c:ext xmlns:c16="http://schemas.microsoft.com/office/drawing/2014/chart" uri="{C3380CC4-5D6E-409C-BE32-E72D297353CC}">
              <c16:uniqueId val="{00000001-12FA-41FF-BB35-124789786B29}"/>
            </c:ext>
          </c:extLst>
        </c:ser>
        <c:dLbls>
          <c:showLegendKey val="0"/>
          <c:showVal val="0"/>
          <c:showCatName val="0"/>
          <c:showSerName val="0"/>
          <c:showPercent val="0"/>
          <c:showBubbleSize val="0"/>
        </c:dLbls>
        <c:smooth val="0"/>
        <c:axId val="864474976"/>
        <c:axId val="231936960"/>
      </c:lineChart>
      <c:catAx>
        <c:axId val="86447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936960"/>
        <c:crosses val="autoZero"/>
        <c:auto val="1"/>
        <c:lblAlgn val="ctr"/>
        <c:lblOffset val="100"/>
        <c:noMultiLvlLbl val="0"/>
      </c:catAx>
      <c:valAx>
        <c:axId val="23193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7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VSM</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'Model Standard'!$A$10</c:f>
              <c:strCache>
                <c:ptCount val="1"/>
                <c:pt idx="0">
                  <c:v>VSM - Planned</c:v>
                </c:pt>
              </c:strCache>
            </c:strRef>
          </c:tx>
          <c:spPr>
            <a:ln w="28575" cap="rnd">
              <a:solidFill>
                <a:schemeClr val="accent1"/>
              </a:solidFill>
              <a:prstDash val="dash"/>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Standard'!$B$10:$L$10</c:f>
              <c:numCache>
                <c:formatCode>General</c:formatCode>
                <c:ptCount val="11"/>
                <c:pt idx="0">
                  <c:v>0</c:v>
                </c:pt>
                <c:pt idx="1">
                  <c:v>0</c:v>
                </c:pt>
                <c:pt idx="2">
                  <c:v>0</c:v>
                </c:pt>
                <c:pt idx="3">
                  <c:v>0</c:v>
                </c:pt>
                <c:pt idx="4">
                  <c:v>1</c:v>
                </c:pt>
                <c:pt idx="5">
                  <c:v>1</c:v>
                </c:pt>
                <c:pt idx="6">
                  <c:v>1</c:v>
                </c:pt>
                <c:pt idx="7">
                  <c:v>1</c:v>
                </c:pt>
                <c:pt idx="8">
                  <c:v>1</c:v>
                </c:pt>
                <c:pt idx="9">
                  <c:v>1</c:v>
                </c:pt>
                <c:pt idx="10">
                  <c:v>1</c:v>
                </c:pt>
              </c:numCache>
            </c:numRef>
          </c:val>
          <c:smooth val="0"/>
          <c:extLst>
            <c:ext xmlns:c16="http://schemas.microsoft.com/office/drawing/2014/chart" uri="{C3380CC4-5D6E-409C-BE32-E72D297353CC}">
              <c16:uniqueId val="{00000000-092B-41FB-BB35-D3BF427ACCF3}"/>
            </c:ext>
          </c:extLst>
        </c:ser>
        <c:ser>
          <c:idx val="1"/>
          <c:order val="1"/>
          <c:tx>
            <c:strRef>
              <c:f>'Model Standard'!$A$19</c:f>
              <c:strCache>
                <c:ptCount val="1"/>
                <c:pt idx="0">
                  <c:v>VSM - Actual</c:v>
                </c:pt>
              </c:strCache>
            </c:strRef>
          </c:tx>
          <c:spPr>
            <a:ln w="28575" cap="rnd">
              <a:solidFill>
                <a:schemeClr val="bg1">
                  <a:lumMod val="65000"/>
                </a:schemeClr>
              </a:solidFill>
              <a:round/>
            </a:ln>
            <a:effectLst/>
          </c:spPr>
          <c:marker>
            <c:symbol val="none"/>
          </c:marker>
          <c:cat>
            <c:strRef>
              <c:f>'Model Standard'!$B$4:$L$4</c:f>
              <c:strCache>
                <c:ptCount val="11"/>
                <c:pt idx="0">
                  <c:v>2018</c:v>
                </c:pt>
                <c:pt idx="1">
                  <c:v>2019</c:v>
                </c:pt>
                <c:pt idx="2">
                  <c:v>2020</c:v>
                </c:pt>
                <c:pt idx="3">
                  <c:v>2021</c:v>
                </c:pt>
                <c:pt idx="4">
                  <c:v>2022</c:v>
                </c:pt>
                <c:pt idx="5">
                  <c:v>2023</c:v>
                </c:pt>
                <c:pt idx="6">
                  <c:v>2024</c:v>
                </c:pt>
                <c:pt idx="7">
                  <c:v>2025</c:v>
                </c:pt>
                <c:pt idx="8">
                  <c:v>2026</c:v>
                </c:pt>
                <c:pt idx="9">
                  <c:v>2027</c:v>
                </c:pt>
                <c:pt idx="10">
                  <c:v>2028</c:v>
                </c:pt>
              </c:strCache>
            </c:strRef>
          </c:cat>
          <c:val>
            <c:numRef>
              <c:f>'Model Standard'!$B$19:$L$19</c:f>
              <c:numCache>
                <c:formatCode>General</c:formatCode>
                <c:ptCount val="11"/>
                <c:pt idx="0">
                  <c:v>0</c:v>
                </c:pt>
                <c:pt idx="1">
                  <c:v>0</c:v>
                </c:pt>
                <c:pt idx="2">
                  <c:v>0</c:v>
                </c:pt>
                <c:pt idx="3">
                  <c:v>0</c:v>
                </c:pt>
                <c:pt idx="4">
                  <c:v>0</c:v>
                </c:pt>
                <c:pt idx="5">
                  <c:v>0</c:v>
                </c:pt>
              </c:numCache>
            </c:numRef>
          </c:val>
          <c:smooth val="0"/>
          <c:extLst>
            <c:ext xmlns:c16="http://schemas.microsoft.com/office/drawing/2014/chart" uri="{C3380CC4-5D6E-409C-BE32-E72D297353CC}">
              <c16:uniqueId val="{00000001-092B-41FB-BB35-D3BF427ACCF3}"/>
            </c:ext>
          </c:extLst>
        </c:ser>
        <c:dLbls>
          <c:showLegendKey val="0"/>
          <c:showVal val="0"/>
          <c:showCatName val="0"/>
          <c:showSerName val="0"/>
          <c:showPercent val="0"/>
          <c:showBubbleSize val="0"/>
        </c:dLbls>
        <c:smooth val="0"/>
        <c:axId val="864474976"/>
        <c:axId val="231936960"/>
      </c:lineChart>
      <c:catAx>
        <c:axId val="86447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936960"/>
        <c:crosses val="autoZero"/>
        <c:auto val="1"/>
        <c:lblAlgn val="ctr"/>
        <c:lblOffset val="100"/>
        <c:noMultiLvlLbl val="0"/>
      </c:catAx>
      <c:valAx>
        <c:axId val="23193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7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43B4-EF11-4B3E-8AC1-C7AA2F86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PEARSON, Alison (SHERWOOD FOREST HOSPITALS NHS FOUNDATION TRUST)</cp:lastModifiedBy>
  <cp:revision>11</cp:revision>
  <cp:lastPrinted>2018-08-15T14:40:00Z</cp:lastPrinted>
  <dcterms:created xsi:type="dcterms:W3CDTF">2023-09-04T10:16:00Z</dcterms:created>
  <dcterms:modified xsi:type="dcterms:W3CDTF">2023-09-28T06:45:00Z</dcterms:modified>
</cp:coreProperties>
</file>